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92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3397"/>
        <w:gridCol w:w="5529"/>
      </w:tblGrid>
      <w:tr w:rsidR="00786A47" w:rsidRPr="00786A47" w:rsidTr="00797C30">
        <w:tc>
          <w:tcPr>
            <w:tcW w:w="3397" w:type="dxa"/>
            <w:vAlign w:val="center"/>
          </w:tcPr>
          <w:p w:rsidR="00AF47D9" w:rsidRPr="00786A47" w:rsidRDefault="00863C8B" w:rsidP="00786A47">
            <w:pPr>
              <w:pStyle w:val="Prrafodelista"/>
              <w:numPr>
                <w:ilvl w:val="0"/>
                <w:numId w:val="27"/>
              </w:numPr>
              <w:spacing w:before="240" w:after="240"/>
              <w:ind w:left="284" w:hanging="284"/>
              <w:jc w:val="both"/>
              <w:rPr>
                <w:rFonts w:ascii="Arial" w:hAnsi="Arial" w:cs="Arial"/>
                <w:b/>
                <w:sz w:val="22"/>
                <w:szCs w:val="22"/>
              </w:rPr>
            </w:pPr>
            <w:r w:rsidRPr="00786A47">
              <w:rPr>
                <w:rFonts w:ascii="Arial" w:hAnsi="Arial" w:cs="Arial"/>
                <w:b/>
                <w:sz w:val="22"/>
                <w:szCs w:val="22"/>
              </w:rPr>
              <w:t>PROCESO</w:t>
            </w:r>
            <w:r w:rsidR="00FD437C" w:rsidRPr="00786A47">
              <w:rPr>
                <w:rFonts w:ascii="Arial" w:hAnsi="Arial" w:cs="Arial"/>
                <w:b/>
                <w:sz w:val="22"/>
                <w:szCs w:val="22"/>
              </w:rPr>
              <w:t>/SUBPROCESO</w:t>
            </w:r>
            <w:r w:rsidRPr="00786A47">
              <w:rPr>
                <w:rFonts w:ascii="Arial" w:hAnsi="Arial" w:cs="Arial"/>
                <w:b/>
                <w:sz w:val="22"/>
                <w:szCs w:val="22"/>
              </w:rPr>
              <w:t xml:space="preserve"> RELACIONADO</w:t>
            </w:r>
            <w:r w:rsidR="00805F73" w:rsidRPr="00786A47">
              <w:rPr>
                <w:rFonts w:ascii="Arial" w:hAnsi="Arial" w:cs="Arial"/>
                <w:b/>
                <w:sz w:val="22"/>
                <w:szCs w:val="22"/>
              </w:rPr>
              <w:t>:</w:t>
            </w:r>
          </w:p>
        </w:tc>
        <w:tc>
          <w:tcPr>
            <w:tcW w:w="5529" w:type="dxa"/>
            <w:vAlign w:val="center"/>
          </w:tcPr>
          <w:p w:rsidR="00AF47D9" w:rsidRPr="00786A47" w:rsidRDefault="00797C30" w:rsidP="00786A47">
            <w:pPr>
              <w:spacing w:before="240" w:after="240"/>
              <w:jc w:val="both"/>
              <w:rPr>
                <w:rFonts w:ascii="Arial" w:hAnsi="Arial" w:cs="Arial"/>
                <w:sz w:val="22"/>
                <w:szCs w:val="22"/>
              </w:rPr>
            </w:pPr>
            <w:r>
              <w:rPr>
                <w:rFonts w:ascii="Arial" w:hAnsi="Arial" w:cs="Arial"/>
                <w:sz w:val="22"/>
                <w:szCs w:val="22"/>
              </w:rPr>
              <w:t xml:space="preserve">Proceso Misional </w:t>
            </w:r>
            <w:r w:rsidR="0029416C" w:rsidRPr="00786A47">
              <w:rPr>
                <w:rFonts w:ascii="Arial" w:hAnsi="Arial" w:cs="Arial"/>
                <w:sz w:val="22"/>
                <w:szCs w:val="22"/>
              </w:rPr>
              <w:t>/Gestión de la Investigación</w:t>
            </w:r>
          </w:p>
        </w:tc>
      </w:tr>
      <w:tr w:rsidR="00786A47" w:rsidRPr="00786A47" w:rsidTr="00797C30">
        <w:tc>
          <w:tcPr>
            <w:tcW w:w="3397" w:type="dxa"/>
            <w:vAlign w:val="center"/>
          </w:tcPr>
          <w:p w:rsidR="00863C8B" w:rsidRPr="00786A47" w:rsidRDefault="00863C8B" w:rsidP="00786A47">
            <w:pPr>
              <w:spacing w:before="240" w:after="240"/>
              <w:jc w:val="both"/>
              <w:rPr>
                <w:rFonts w:ascii="Arial" w:hAnsi="Arial" w:cs="Arial"/>
                <w:b/>
                <w:sz w:val="22"/>
                <w:szCs w:val="22"/>
              </w:rPr>
            </w:pPr>
            <w:r w:rsidRPr="00786A47">
              <w:rPr>
                <w:rFonts w:ascii="Arial" w:hAnsi="Arial" w:cs="Arial"/>
                <w:b/>
                <w:sz w:val="22"/>
                <w:szCs w:val="22"/>
              </w:rPr>
              <w:t>2. RESPONSABLE(S):</w:t>
            </w:r>
          </w:p>
        </w:tc>
        <w:tc>
          <w:tcPr>
            <w:tcW w:w="5529" w:type="dxa"/>
            <w:vAlign w:val="center"/>
          </w:tcPr>
          <w:p w:rsidR="00863C8B" w:rsidRPr="00786A47" w:rsidRDefault="00786A47" w:rsidP="00786A47">
            <w:pPr>
              <w:spacing w:before="240" w:after="240"/>
              <w:jc w:val="both"/>
              <w:rPr>
                <w:rFonts w:ascii="Arial" w:hAnsi="Arial" w:cs="Arial"/>
                <w:sz w:val="22"/>
                <w:szCs w:val="22"/>
              </w:rPr>
            </w:pPr>
            <w:r w:rsidRPr="00786A47">
              <w:rPr>
                <w:rFonts w:ascii="Arial" w:hAnsi="Arial" w:cs="Arial"/>
                <w:sz w:val="22"/>
                <w:szCs w:val="22"/>
              </w:rPr>
              <w:t>Comité de ética para la investigación científica.</w:t>
            </w:r>
          </w:p>
        </w:tc>
      </w:tr>
    </w:tbl>
    <w:p w:rsidR="00AF47D9" w:rsidRPr="00786A47" w:rsidRDefault="00AF47D9" w:rsidP="00786A47">
      <w:pPr>
        <w:ind w:hanging="180"/>
        <w:jc w:val="both"/>
        <w:rPr>
          <w:rFonts w:ascii="Arial" w:hAnsi="Arial" w:cs="Arial"/>
          <w:b/>
          <w:sz w:val="22"/>
          <w:szCs w:val="22"/>
        </w:rPr>
      </w:pPr>
    </w:p>
    <w:p w:rsidR="003E06B5" w:rsidRPr="00786A47" w:rsidRDefault="00786A47" w:rsidP="00786A47">
      <w:pPr>
        <w:pStyle w:val="Prrafodelista"/>
        <w:tabs>
          <w:tab w:val="left" w:pos="1380"/>
          <w:tab w:val="center" w:pos="5060"/>
        </w:tabs>
        <w:ind w:left="0"/>
        <w:jc w:val="both"/>
        <w:rPr>
          <w:rFonts w:ascii="Arial" w:hAnsi="Arial" w:cs="Arial"/>
          <w:b/>
          <w:sz w:val="22"/>
          <w:szCs w:val="22"/>
        </w:rPr>
      </w:pPr>
      <w:r>
        <w:rPr>
          <w:rFonts w:ascii="Arial" w:hAnsi="Arial" w:cs="Arial"/>
          <w:b/>
          <w:bCs/>
          <w:sz w:val="22"/>
          <w:szCs w:val="22"/>
        </w:rPr>
        <w:t>3</w:t>
      </w:r>
      <w:r w:rsidR="0009225F" w:rsidRPr="00786A47">
        <w:rPr>
          <w:rFonts w:ascii="Arial" w:hAnsi="Arial" w:cs="Arial"/>
          <w:b/>
          <w:bCs/>
          <w:sz w:val="22"/>
          <w:szCs w:val="22"/>
        </w:rPr>
        <w:t xml:space="preserve">. </w:t>
      </w:r>
      <w:r w:rsidR="00CD5AC9" w:rsidRPr="00786A47">
        <w:rPr>
          <w:rFonts w:ascii="Arial" w:hAnsi="Arial" w:cs="Arial"/>
          <w:b/>
          <w:sz w:val="22"/>
          <w:szCs w:val="22"/>
        </w:rPr>
        <w:t>CONTENIDO</w:t>
      </w:r>
      <w:r w:rsidR="00346FE3" w:rsidRPr="00786A47">
        <w:rPr>
          <w:rFonts w:ascii="Arial" w:hAnsi="Arial" w:cs="Arial"/>
          <w:b/>
          <w:sz w:val="22"/>
          <w:szCs w:val="22"/>
        </w:rPr>
        <w:t>:</w:t>
      </w:r>
    </w:p>
    <w:p w:rsidR="00371EA8" w:rsidRPr="00786A47" w:rsidRDefault="00371EA8" w:rsidP="00786A47">
      <w:pPr>
        <w:jc w:val="both"/>
        <w:rPr>
          <w:rFonts w:ascii="Arial" w:hAnsi="Arial" w:cs="Arial"/>
          <w:b/>
          <w:bCs/>
          <w:sz w:val="22"/>
          <w:szCs w:val="22"/>
        </w:rPr>
      </w:pPr>
    </w:p>
    <w:p w:rsidR="00786A47" w:rsidRPr="00786A47" w:rsidRDefault="00786A47" w:rsidP="00786A47">
      <w:pPr>
        <w:jc w:val="both"/>
        <w:rPr>
          <w:rFonts w:ascii="Arial" w:hAnsi="Arial" w:cs="Arial"/>
          <w:sz w:val="22"/>
          <w:szCs w:val="22"/>
        </w:rPr>
      </w:pPr>
      <w:r w:rsidRPr="00786A47">
        <w:rPr>
          <w:rFonts w:ascii="Arial" w:hAnsi="Arial" w:cs="Arial"/>
          <w:b/>
          <w:bCs/>
          <w:sz w:val="22"/>
          <w:szCs w:val="22"/>
        </w:rPr>
        <w:t>MARCO LEGAL</w:t>
      </w:r>
      <w:r w:rsidRPr="00786A47">
        <w:rPr>
          <w:rStyle w:val="Refdenotaalpie"/>
          <w:rFonts w:ascii="Arial" w:hAnsi="Arial" w:cs="Arial"/>
          <w:b/>
          <w:bCs/>
          <w:sz w:val="22"/>
          <w:szCs w:val="22"/>
        </w:rPr>
        <w:footnoteReference w:id="1"/>
      </w:r>
      <w:r w:rsidRPr="00786A47">
        <w:rPr>
          <w:rFonts w:ascii="Arial" w:hAnsi="Arial" w:cs="Arial"/>
          <w:sz w:val="22"/>
          <w:szCs w:val="22"/>
        </w:rPr>
        <w:t>:</w:t>
      </w:r>
    </w:p>
    <w:p w:rsidR="00786A47" w:rsidRPr="00786A47" w:rsidRDefault="00786A47" w:rsidP="00786A47">
      <w:pPr>
        <w:jc w:val="both"/>
        <w:rPr>
          <w:rFonts w:ascii="Arial" w:hAnsi="Arial" w:cs="Arial"/>
          <w:sz w:val="22"/>
          <w:szCs w:val="22"/>
        </w:rPr>
      </w:pPr>
    </w:p>
    <w:p w:rsidR="00786A47" w:rsidRPr="00786A47" w:rsidRDefault="00786A47" w:rsidP="00786A47">
      <w:pPr>
        <w:jc w:val="both"/>
        <w:rPr>
          <w:rFonts w:ascii="Arial" w:hAnsi="Arial" w:cs="Arial"/>
          <w:sz w:val="22"/>
          <w:szCs w:val="22"/>
        </w:rPr>
      </w:pPr>
      <w:r w:rsidRPr="00786A47">
        <w:rPr>
          <w:rFonts w:ascii="Arial" w:hAnsi="Arial" w:cs="Arial"/>
          <w:b/>
          <w:sz w:val="22"/>
          <w:szCs w:val="22"/>
        </w:rPr>
        <w:t>Anotaciones importantes</w:t>
      </w:r>
      <w:r w:rsidRPr="00786A47">
        <w:rPr>
          <w:rFonts w:ascii="Arial" w:hAnsi="Arial" w:cs="Arial"/>
          <w:sz w:val="22"/>
          <w:szCs w:val="22"/>
        </w:rPr>
        <w:t>:</w:t>
      </w:r>
    </w:p>
    <w:p w:rsidR="00786A47" w:rsidRPr="00786A47" w:rsidRDefault="00786A47" w:rsidP="00786A47">
      <w:pPr>
        <w:jc w:val="both"/>
        <w:rPr>
          <w:rFonts w:ascii="Arial" w:hAnsi="Arial" w:cs="Arial"/>
          <w:sz w:val="22"/>
          <w:szCs w:val="22"/>
        </w:rPr>
      </w:pPr>
    </w:p>
    <w:p w:rsidR="00786A47" w:rsidRPr="00786A47" w:rsidRDefault="00786A47" w:rsidP="00786A47">
      <w:pPr>
        <w:pStyle w:val="Textoindependiente"/>
        <w:jc w:val="both"/>
        <w:rPr>
          <w:sz w:val="22"/>
          <w:szCs w:val="22"/>
        </w:rPr>
      </w:pPr>
      <w:r w:rsidRPr="00786A47">
        <w:rPr>
          <w:sz w:val="22"/>
          <w:szCs w:val="22"/>
        </w:rPr>
        <w:t>La normatividad actual ha generado la obligación de crear Comités de Ética al interio</w:t>
      </w:r>
      <w:r w:rsidR="003F153A">
        <w:rPr>
          <w:sz w:val="22"/>
          <w:szCs w:val="22"/>
        </w:rPr>
        <w:t>r de las entidades de carácter u</w:t>
      </w:r>
      <w:r w:rsidRPr="00786A47">
        <w:rPr>
          <w:sz w:val="22"/>
          <w:szCs w:val="22"/>
        </w:rPr>
        <w:t>niversitario y en general de todas aquellas que tienen dentro de sus quehaceres la investigación científica con seres vivos</w:t>
      </w:r>
      <w:r w:rsidRPr="00786A47">
        <w:rPr>
          <w:rStyle w:val="Refdenotaalpie"/>
          <w:sz w:val="22"/>
          <w:szCs w:val="22"/>
        </w:rPr>
        <w:footnoteReference w:id="2"/>
      </w:r>
      <w:r w:rsidRPr="00786A47">
        <w:rPr>
          <w:sz w:val="22"/>
          <w:szCs w:val="22"/>
        </w:rPr>
        <w:t xml:space="preserve">. </w:t>
      </w:r>
    </w:p>
    <w:p w:rsidR="00786A47" w:rsidRPr="00786A47" w:rsidRDefault="00786A47" w:rsidP="00786A47">
      <w:pPr>
        <w:pStyle w:val="Textoindependiente"/>
        <w:jc w:val="both"/>
        <w:rPr>
          <w:sz w:val="22"/>
          <w:szCs w:val="22"/>
        </w:rPr>
      </w:pPr>
    </w:p>
    <w:p w:rsidR="00786A47" w:rsidRPr="00786A47" w:rsidRDefault="00786A47" w:rsidP="00786A47">
      <w:pPr>
        <w:autoSpaceDE w:val="0"/>
        <w:autoSpaceDN w:val="0"/>
        <w:adjustRightInd w:val="0"/>
        <w:spacing w:line="240" w:lineRule="atLeast"/>
        <w:jc w:val="both"/>
        <w:rPr>
          <w:rFonts w:ascii="Arial" w:eastAsia="Arial Unicode MS" w:hAnsi="Arial" w:cs="Arial"/>
          <w:bCs/>
          <w:sz w:val="22"/>
          <w:szCs w:val="22"/>
        </w:rPr>
      </w:pPr>
      <w:r w:rsidRPr="00786A47">
        <w:rPr>
          <w:rFonts w:ascii="Arial" w:eastAsia="Arial Unicode MS" w:hAnsi="Arial" w:cs="Arial"/>
          <w:bCs/>
          <w:sz w:val="22"/>
          <w:szCs w:val="22"/>
        </w:rPr>
        <w:t>Sin embargo, antes del discurso jurídico es necesario plantear la discusión desde la bioética y la misma filosofía del derecho contemporánea que plantea además de varias inquietudes, nuevos temas y quizás retoma otros que habían quedado un tanto en el olvido. Dentro de ellos, indudablemente surgen los relacionados con la investigación científica y los impactos sobre derechos que subyacen respecto de los seres que participan en ella.</w:t>
      </w:r>
    </w:p>
    <w:p w:rsidR="00786A47" w:rsidRPr="00786A47" w:rsidRDefault="00786A47" w:rsidP="00786A47">
      <w:pPr>
        <w:autoSpaceDE w:val="0"/>
        <w:autoSpaceDN w:val="0"/>
        <w:adjustRightInd w:val="0"/>
        <w:spacing w:line="240" w:lineRule="atLeast"/>
        <w:jc w:val="both"/>
        <w:rPr>
          <w:rFonts w:ascii="Arial" w:eastAsia="Arial Unicode MS" w:hAnsi="Arial" w:cs="Arial"/>
          <w:bCs/>
          <w:sz w:val="22"/>
          <w:szCs w:val="22"/>
        </w:rPr>
      </w:pPr>
    </w:p>
    <w:p w:rsidR="00786A47" w:rsidRPr="00786A47" w:rsidRDefault="00786A47" w:rsidP="00786A47">
      <w:pPr>
        <w:autoSpaceDE w:val="0"/>
        <w:autoSpaceDN w:val="0"/>
        <w:adjustRightInd w:val="0"/>
        <w:spacing w:line="240" w:lineRule="atLeast"/>
        <w:jc w:val="both"/>
        <w:rPr>
          <w:rFonts w:ascii="Arial" w:eastAsia="Arial Unicode MS" w:hAnsi="Arial" w:cs="Arial"/>
          <w:bCs/>
          <w:sz w:val="22"/>
          <w:szCs w:val="22"/>
        </w:rPr>
      </w:pPr>
      <w:r w:rsidRPr="00786A47">
        <w:rPr>
          <w:rFonts w:ascii="Arial" w:eastAsia="Arial Unicode MS" w:hAnsi="Arial" w:cs="Arial"/>
          <w:bCs/>
          <w:sz w:val="22"/>
          <w:szCs w:val="22"/>
        </w:rPr>
        <w:t>De igual forma</w:t>
      </w:r>
      <w:r w:rsidRPr="00786A47">
        <w:rPr>
          <w:rStyle w:val="Refdenotaalpie"/>
          <w:rFonts w:ascii="Arial" w:eastAsia="Arial Unicode MS" w:hAnsi="Arial" w:cs="Arial"/>
          <w:bCs/>
          <w:sz w:val="22"/>
          <w:szCs w:val="22"/>
        </w:rPr>
        <w:footnoteReference w:id="3"/>
      </w:r>
      <w:r w:rsidRPr="00786A47">
        <w:rPr>
          <w:rFonts w:ascii="Arial" w:eastAsia="Arial Unicode MS" w:hAnsi="Arial" w:cs="Arial"/>
          <w:bCs/>
          <w:sz w:val="22"/>
          <w:szCs w:val="22"/>
        </w:rPr>
        <w:t xml:space="preserve">, </w:t>
      </w:r>
    </w:p>
    <w:p w:rsidR="00786A47" w:rsidRPr="00786A47" w:rsidRDefault="00786A47" w:rsidP="00786A47">
      <w:pPr>
        <w:autoSpaceDE w:val="0"/>
        <w:autoSpaceDN w:val="0"/>
        <w:adjustRightInd w:val="0"/>
        <w:spacing w:line="240" w:lineRule="atLeast"/>
        <w:jc w:val="both"/>
        <w:rPr>
          <w:rFonts w:ascii="Arial" w:eastAsia="Arial Unicode MS" w:hAnsi="Arial" w:cs="Arial"/>
          <w:bCs/>
          <w:sz w:val="22"/>
          <w:szCs w:val="22"/>
        </w:rPr>
      </w:pPr>
    </w:p>
    <w:p w:rsidR="00786A47" w:rsidRPr="00786A47" w:rsidRDefault="00786A47" w:rsidP="00786A47">
      <w:pPr>
        <w:autoSpaceDE w:val="0"/>
        <w:autoSpaceDN w:val="0"/>
        <w:adjustRightInd w:val="0"/>
        <w:spacing w:line="240" w:lineRule="atLeast"/>
        <w:ind w:left="1406"/>
        <w:jc w:val="both"/>
        <w:rPr>
          <w:rFonts w:ascii="Arial" w:eastAsia="Arial Unicode MS" w:hAnsi="Arial" w:cs="Arial"/>
          <w:bCs/>
          <w:i/>
          <w:sz w:val="22"/>
          <w:szCs w:val="22"/>
        </w:rPr>
      </w:pPr>
      <w:r w:rsidRPr="00786A47">
        <w:rPr>
          <w:rFonts w:ascii="Arial" w:eastAsia="Arial Unicode MS" w:hAnsi="Arial" w:cs="Arial"/>
          <w:bCs/>
          <w:i/>
          <w:sz w:val="22"/>
          <w:szCs w:val="22"/>
        </w:rPr>
        <w:t>“se retoma la cuestión de la bioética, pues es innegable que todos los puntos precitados requieren de una nueva interpretación de la ética. Ya no hablaremos de una “ética aplicada” como lo indica Faralli</w:t>
      </w:r>
      <w:r w:rsidRPr="00786A47">
        <w:rPr>
          <w:rStyle w:val="Refdenotaalpie"/>
          <w:rFonts w:ascii="Arial" w:eastAsia="Arial Unicode MS" w:hAnsi="Arial" w:cs="Arial"/>
          <w:bCs/>
          <w:i/>
          <w:sz w:val="22"/>
          <w:szCs w:val="22"/>
        </w:rPr>
        <w:footnoteReference w:id="4"/>
      </w:r>
      <w:r w:rsidRPr="00786A47">
        <w:rPr>
          <w:rFonts w:ascii="Arial" w:eastAsia="Arial Unicode MS" w:hAnsi="Arial" w:cs="Arial"/>
          <w:bCs/>
          <w:i/>
          <w:sz w:val="22"/>
          <w:szCs w:val="22"/>
        </w:rPr>
        <w:t xml:space="preserve"> recientemente.</w:t>
      </w:r>
    </w:p>
    <w:p w:rsidR="00786A47" w:rsidRPr="00786A47" w:rsidRDefault="00786A47" w:rsidP="00786A47">
      <w:pPr>
        <w:autoSpaceDE w:val="0"/>
        <w:autoSpaceDN w:val="0"/>
        <w:adjustRightInd w:val="0"/>
        <w:spacing w:line="240" w:lineRule="atLeast"/>
        <w:ind w:left="703"/>
        <w:jc w:val="both"/>
        <w:rPr>
          <w:rFonts w:ascii="Arial" w:eastAsia="Arial Unicode MS" w:hAnsi="Arial" w:cs="Arial"/>
          <w:bCs/>
          <w:i/>
          <w:sz w:val="22"/>
          <w:szCs w:val="22"/>
        </w:rPr>
      </w:pPr>
    </w:p>
    <w:p w:rsidR="00786A47" w:rsidRPr="00786A47" w:rsidRDefault="00786A47" w:rsidP="00786A47">
      <w:pPr>
        <w:pStyle w:val="Sinespaciado"/>
        <w:spacing w:line="240" w:lineRule="exact"/>
        <w:ind w:left="1406" w:right="558"/>
        <w:jc w:val="both"/>
        <w:rPr>
          <w:rFonts w:ascii="Arial" w:eastAsia="Arial Unicode MS" w:hAnsi="Arial" w:cs="Arial"/>
          <w:i/>
        </w:rPr>
      </w:pPr>
      <w:r w:rsidRPr="00786A47">
        <w:rPr>
          <w:rFonts w:ascii="Arial" w:eastAsia="Arial Unicode MS" w:hAnsi="Arial" w:cs="Arial"/>
          <w:i/>
        </w:rPr>
        <w:t xml:space="preserve">A comienzos de los años setenta, como tuvimos ocasión de indicarlo, se asiste a un progresivo abandono de las investigaciones </w:t>
      </w:r>
      <w:r w:rsidR="003F153A" w:rsidRPr="00786A47">
        <w:rPr>
          <w:rFonts w:ascii="Arial" w:eastAsia="Arial Unicode MS" w:hAnsi="Arial" w:cs="Arial"/>
          <w:i/>
        </w:rPr>
        <w:t>meta éticas</w:t>
      </w:r>
      <w:r w:rsidRPr="00786A47">
        <w:rPr>
          <w:rFonts w:ascii="Arial" w:eastAsia="Arial Unicode MS" w:hAnsi="Arial" w:cs="Arial"/>
          <w:i/>
        </w:rPr>
        <w:t xml:space="preserve">, </w:t>
      </w:r>
      <w:r w:rsidRPr="00786A47">
        <w:rPr>
          <w:rFonts w:ascii="Arial" w:eastAsia="Arial Unicode MS" w:hAnsi="Arial" w:cs="Arial"/>
          <w:i/>
        </w:rPr>
        <w:lastRenderedPageBreak/>
        <w:t>que se ocupan de la naturaleza y la fundación de la ética, del significado de los términos éticos y de los diferentes modelos de razonamiento moral, y a un renovado interés por los problemas morales concretos y específicos.</w:t>
      </w:r>
    </w:p>
    <w:p w:rsidR="00786A47" w:rsidRPr="00786A47" w:rsidRDefault="00786A47" w:rsidP="00786A47">
      <w:pPr>
        <w:autoSpaceDE w:val="0"/>
        <w:autoSpaceDN w:val="0"/>
        <w:adjustRightInd w:val="0"/>
        <w:spacing w:line="240" w:lineRule="atLeast"/>
        <w:jc w:val="both"/>
        <w:rPr>
          <w:rFonts w:ascii="Arial" w:eastAsia="Arial Unicode MS" w:hAnsi="Arial" w:cs="Arial"/>
          <w:b/>
          <w:bCs/>
          <w:sz w:val="22"/>
          <w:szCs w:val="22"/>
        </w:rPr>
      </w:pPr>
    </w:p>
    <w:p w:rsidR="00786A47" w:rsidRPr="00786A47" w:rsidRDefault="00786A47" w:rsidP="00786A47">
      <w:pPr>
        <w:autoSpaceDE w:val="0"/>
        <w:autoSpaceDN w:val="0"/>
        <w:adjustRightInd w:val="0"/>
        <w:spacing w:line="240" w:lineRule="atLeast"/>
        <w:jc w:val="both"/>
        <w:rPr>
          <w:rFonts w:ascii="Arial" w:eastAsia="Arial Unicode MS" w:hAnsi="Arial" w:cs="Arial"/>
          <w:bCs/>
          <w:sz w:val="22"/>
          <w:szCs w:val="22"/>
        </w:rPr>
      </w:pPr>
      <w:r w:rsidRPr="00786A47">
        <w:rPr>
          <w:rFonts w:ascii="Arial" w:eastAsia="Arial Unicode MS" w:hAnsi="Arial" w:cs="Arial"/>
          <w:bCs/>
          <w:sz w:val="22"/>
          <w:szCs w:val="22"/>
        </w:rPr>
        <w:t>De hecho, el avance de la ciencia plantea problemas y discusiones profundas</w:t>
      </w:r>
      <w:r w:rsidRPr="00786A47">
        <w:rPr>
          <w:rStyle w:val="Refdenotaalpie"/>
          <w:rFonts w:ascii="Arial" w:eastAsia="Arial Unicode MS" w:hAnsi="Arial" w:cs="Arial"/>
          <w:bCs/>
          <w:sz w:val="22"/>
          <w:szCs w:val="22"/>
        </w:rPr>
        <w:footnoteReference w:id="5"/>
      </w:r>
      <w:r w:rsidRPr="00786A47">
        <w:rPr>
          <w:rFonts w:ascii="Arial" w:eastAsia="Arial Unicode MS" w:hAnsi="Arial" w:cs="Arial"/>
          <w:bCs/>
          <w:sz w:val="22"/>
          <w:szCs w:val="22"/>
        </w:rPr>
        <w:t>, pues en su devenir, se entrecruzan beneficios innegables con dilemas éticos de hasta donde se justifican estos adelantos si se vulneran a la vez derechos de los seres sometidos a investigación.</w:t>
      </w:r>
    </w:p>
    <w:p w:rsidR="00786A47" w:rsidRPr="00786A47" w:rsidRDefault="00786A47" w:rsidP="00786A47">
      <w:pPr>
        <w:autoSpaceDE w:val="0"/>
        <w:autoSpaceDN w:val="0"/>
        <w:adjustRightInd w:val="0"/>
        <w:spacing w:line="240" w:lineRule="atLeast"/>
        <w:jc w:val="both"/>
        <w:rPr>
          <w:rFonts w:ascii="Arial" w:eastAsia="Arial Unicode MS" w:hAnsi="Arial" w:cs="Arial"/>
          <w:bCs/>
          <w:sz w:val="22"/>
          <w:szCs w:val="22"/>
        </w:rPr>
      </w:pPr>
      <w:r w:rsidRPr="00786A47">
        <w:rPr>
          <w:rFonts w:ascii="Arial" w:eastAsia="Arial Unicode MS" w:hAnsi="Arial" w:cs="Arial"/>
          <w:bCs/>
          <w:sz w:val="22"/>
          <w:szCs w:val="22"/>
        </w:rPr>
        <w:t>¿</w:t>
      </w:r>
      <w:r w:rsidR="003F153A" w:rsidRPr="00786A47">
        <w:rPr>
          <w:rFonts w:ascii="Arial" w:eastAsia="Arial Unicode MS" w:hAnsi="Arial" w:cs="Arial"/>
          <w:bCs/>
          <w:sz w:val="22"/>
          <w:szCs w:val="22"/>
        </w:rPr>
        <w:t>Qué</w:t>
      </w:r>
      <w:r w:rsidRPr="00786A47">
        <w:rPr>
          <w:rFonts w:ascii="Arial" w:eastAsia="Arial Unicode MS" w:hAnsi="Arial" w:cs="Arial"/>
          <w:bCs/>
          <w:sz w:val="22"/>
          <w:szCs w:val="22"/>
        </w:rPr>
        <w:t xml:space="preserve"> límites se establecen frente al conocimiento nuevo y científico? </w:t>
      </w:r>
      <w:r w:rsidR="003F153A" w:rsidRPr="00786A47">
        <w:rPr>
          <w:rFonts w:ascii="Arial" w:eastAsia="Arial Unicode MS" w:hAnsi="Arial" w:cs="Arial"/>
          <w:bCs/>
          <w:sz w:val="22"/>
          <w:szCs w:val="22"/>
        </w:rPr>
        <w:t>¿Qué frontera debe respetarse?</w:t>
      </w:r>
      <w:r w:rsidRPr="00786A47">
        <w:rPr>
          <w:rFonts w:ascii="Arial" w:eastAsia="Arial Unicode MS" w:hAnsi="Arial" w:cs="Arial"/>
          <w:bCs/>
          <w:sz w:val="22"/>
          <w:szCs w:val="22"/>
        </w:rPr>
        <w:t xml:space="preserve"> </w:t>
      </w:r>
      <w:r w:rsidR="003F153A" w:rsidRPr="00786A47">
        <w:rPr>
          <w:rFonts w:ascii="Arial" w:eastAsia="Arial Unicode MS" w:hAnsi="Arial" w:cs="Arial"/>
          <w:bCs/>
          <w:sz w:val="22"/>
          <w:szCs w:val="22"/>
        </w:rPr>
        <w:t>¿Justifica la evolución del conocimiento que se deje completamente libre la experimentación en seres vivos?</w:t>
      </w:r>
    </w:p>
    <w:p w:rsidR="00786A47" w:rsidRPr="00786A47" w:rsidRDefault="00786A47" w:rsidP="00786A47">
      <w:pPr>
        <w:autoSpaceDE w:val="0"/>
        <w:autoSpaceDN w:val="0"/>
        <w:adjustRightInd w:val="0"/>
        <w:spacing w:line="240" w:lineRule="atLeast"/>
        <w:jc w:val="both"/>
        <w:rPr>
          <w:rFonts w:ascii="Arial" w:eastAsia="Arial Unicode MS" w:hAnsi="Arial" w:cs="Arial"/>
          <w:bCs/>
          <w:sz w:val="22"/>
          <w:szCs w:val="22"/>
        </w:rPr>
      </w:pPr>
    </w:p>
    <w:p w:rsidR="00786A47" w:rsidRPr="00786A47" w:rsidRDefault="00786A47" w:rsidP="00786A47">
      <w:pPr>
        <w:autoSpaceDE w:val="0"/>
        <w:autoSpaceDN w:val="0"/>
        <w:adjustRightInd w:val="0"/>
        <w:spacing w:line="240" w:lineRule="atLeast"/>
        <w:jc w:val="both"/>
        <w:rPr>
          <w:rFonts w:ascii="Arial" w:eastAsia="Arial Unicode MS" w:hAnsi="Arial" w:cs="Arial"/>
          <w:bCs/>
          <w:sz w:val="22"/>
          <w:szCs w:val="22"/>
        </w:rPr>
      </w:pPr>
      <w:r w:rsidRPr="00786A47">
        <w:rPr>
          <w:rFonts w:ascii="Arial" w:eastAsia="Arial Unicode MS" w:hAnsi="Arial" w:cs="Arial"/>
          <w:bCs/>
          <w:sz w:val="22"/>
          <w:szCs w:val="22"/>
        </w:rPr>
        <w:t xml:space="preserve">En la gran reflexión planteada desde </w:t>
      </w:r>
      <w:r w:rsidRPr="00786A47">
        <w:rPr>
          <w:rFonts w:ascii="Arial" w:eastAsia="Arial Unicode MS" w:hAnsi="Arial" w:cs="Arial"/>
          <w:b/>
          <w:bCs/>
          <w:sz w:val="22"/>
          <w:szCs w:val="22"/>
        </w:rPr>
        <w:t xml:space="preserve">Potter </w:t>
      </w:r>
      <w:r w:rsidRPr="00786A47">
        <w:rPr>
          <w:rFonts w:ascii="Arial" w:eastAsia="Arial Unicode MS" w:hAnsi="Arial" w:cs="Arial"/>
          <w:bCs/>
          <w:sz w:val="22"/>
          <w:szCs w:val="22"/>
        </w:rPr>
        <w:t>alrededor del concepto de bioética, se comprenden aspectos tan amplios y actuales como el aborto, la eutanasia, la relación médico - paciente, el intrincado fenómeno de trasplante de órganos, la controvertida clonación, las luchas constantes entre evolución de la ciencia médica y los límites a dicho progreso, etc.</w:t>
      </w:r>
    </w:p>
    <w:p w:rsidR="00786A47" w:rsidRPr="00786A47" w:rsidRDefault="00786A47" w:rsidP="00786A47">
      <w:pPr>
        <w:autoSpaceDE w:val="0"/>
        <w:autoSpaceDN w:val="0"/>
        <w:adjustRightInd w:val="0"/>
        <w:spacing w:line="240" w:lineRule="atLeast"/>
        <w:jc w:val="both"/>
        <w:rPr>
          <w:rFonts w:ascii="Arial" w:eastAsia="Arial Unicode MS" w:hAnsi="Arial" w:cs="Arial"/>
          <w:bCs/>
          <w:sz w:val="22"/>
          <w:szCs w:val="22"/>
        </w:rPr>
      </w:pPr>
    </w:p>
    <w:p w:rsidR="00786A47" w:rsidRPr="00786A47" w:rsidRDefault="00786A47" w:rsidP="00786A47">
      <w:pPr>
        <w:autoSpaceDE w:val="0"/>
        <w:autoSpaceDN w:val="0"/>
        <w:adjustRightInd w:val="0"/>
        <w:spacing w:line="240" w:lineRule="atLeast"/>
        <w:ind w:left="708"/>
        <w:jc w:val="both"/>
        <w:rPr>
          <w:rFonts w:ascii="Arial" w:eastAsia="Arial Unicode MS" w:hAnsi="Arial" w:cs="Arial"/>
          <w:bCs/>
          <w:i/>
          <w:sz w:val="22"/>
          <w:szCs w:val="22"/>
        </w:rPr>
      </w:pPr>
      <w:r w:rsidRPr="00786A47">
        <w:rPr>
          <w:rFonts w:ascii="Arial" w:eastAsia="Arial Unicode MS" w:hAnsi="Arial" w:cs="Arial"/>
          <w:bCs/>
          <w:i/>
          <w:sz w:val="22"/>
          <w:szCs w:val="22"/>
        </w:rPr>
        <w:t>Las respuestas no tienen por supuesto la virtud de ser únicas, ni mucho menos pacíficas, pues en su construcción transitan valores y concepciones personales íntimas y en otros casos, religiosas, que en mucho tienden a ser dogmáticas e intransigentes sobre lo que debe hacerse en estos casos límite</w:t>
      </w:r>
      <w:r w:rsidRPr="00786A47">
        <w:rPr>
          <w:rStyle w:val="Refdenotaalpie"/>
          <w:rFonts w:ascii="Arial" w:eastAsia="Arial Unicode MS" w:hAnsi="Arial" w:cs="Arial"/>
          <w:bCs/>
          <w:i/>
          <w:sz w:val="22"/>
          <w:szCs w:val="22"/>
        </w:rPr>
        <w:footnoteReference w:id="6"/>
      </w:r>
      <w:r w:rsidRPr="00786A47">
        <w:rPr>
          <w:rFonts w:ascii="Arial" w:eastAsia="Arial Unicode MS" w:hAnsi="Arial" w:cs="Arial"/>
          <w:bCs/>
          <w:i/>
          <w:sz w:val="22"/>
          <w:szCs w:val="22"/>
        </w:rPr>
        <w:t>.</w:t>
      </w:r>
    </w:p>
    <w:p w:rsidR="00786A47" w:rsidRPr="00786A47" w:rsidRDefault="00786A47" w:rsidP="00786A47">
      <w:pPr>
        <w:autoSpaceDE w:val="0"/>
        <w:autoSpaceDN w:val="0"/>
        <w:adjustRightInd w:val="0"/>
        <w:spacing w:line="240" w:lineRule="atLeast"/>
        <w:jc w:val="both"/>
        <w:rPr>
          <w:rFonts w:ascii="Arial" w:eastAsia="Arial Unicode MS" w:hAnsi="Arial" w:cs="Arial"/>
          <w:bCs/>
          <w:sz w:val="22"/>
          <w:szCs w:val="22"/>
        </w:rPr>
      </w:pPr>
    </w:p>
    <w:p w:rsidR="00786A47" w:rsidRPr="00786A47" w:rsidRDefault="00786A47" w:rsidP="00786A47">
      <w:pPr>
        <w:pStyle w:val="Textoindependiente"/>
        <w:jc w:val="both"/>
        <w:rPr>
          <w:sz w:val="22"/>
          <w:szCs w:val="22"/>
        </w:rPr>
      </w:pPr>
      <w:r w:rsidRPr="00786A47">
        <w:rPr>
          <w:sz w:val="22"/>
          <w:szCs w:val="22"/>
        </w:rPr>
        <w:t xml:space="preserve">En ese camino de creación y de ajuste legal, se hace necesario revisar cuales son los referentes que se exigen, no solamente desde el derecho interno, sino también desde el Derecho Internacional, para tal implementación. </w:t>
      </w:r>
    </w:p>
    <w:p w:rsidR="00786A47" w:rsidRPr="00786A47" w:rsidRDefault="00786A47" w:rsidP="00786A47">
      <w:pPr>
        <w:pStyle w:val="Textoindependiente"/>
        <w:jc w:val="both"/>
        <w:rPr>
          <w:sz w:val="22"/>
          <w:szCs w:val="22"/>
        </w:rPr>
      </w:pPr>
    </w:p>
    <w:p w:rsidR="00786A47" w:rsidRPr="00786A47" w:rsidRDefault="00786A47" w:rsidP="00786A47">
      <w:pPr>
        <w:pStyle w:val="Textoindependiente"/>
        <w:jc w:val="both"/>
        <w:rPr>
          <w:sz w:val="22"/>
          <w:szCs w:val="22"/>
        </w:rPr>
      </w:pPr>
      <w:r w:rsidRPr="00786A47">
        <w:rPr>
          <w:sz w:val="22"/>
          <w:szCs w:val="22"/>
        </w:rPr>
        <w:t>Debe anotarse como norte de interpretación y apreciación del trabajo adelantado hasta el momento que nuestro país no puede ser ajeno a los llamados desde la comunidad internacional a reglamentar desde el derecho interno lo que en conjunto de naciones ha recogido en los tratados y convenios que sobre la materia existen.</w:t>
      </w:r>
    </w:p>
    <w:p w:rsidR="00786A47" w:rsidRPr="00786A47" w:rsidRDefault="00786A47" w:rsidP="00786A47">
      <w:pPr>
        <w:pStyle w:val="Textoindependiente"/>
        <w:jc w:val="both"/>
        <w:rPr>
          <w:sz w:val="22"/>
          <w:szCs w:val="22"/>
        </w:rPr>
      </w:pPr>
    </w:p>
    <w:p w:rsidR="00786A47" w:rsidRPr="00786A47" w:rsidRDefault="00786A47" w:rsidP="00786A47">
      <w:pPr>
        <w:pStyle w:val="Textoindependiente"/>
        <w:jc w:val="both"/>
        <w:rPr>
          <w:b/>
          <w:bCs w:val="0"/>
          <w:sz w:val="22"/>
          <w:szCs w:val="22"/>
        </w:rPr>
      </w:pPr>
      <w:r w:rsidRPr="00786A47">
        <w:rPr>
          <w:b/>
          <w:bCs w:val="0"/>
          <w:sz w:val="22"/>
          <w:szCs w:val="22"/>
        </w:rPr>
        <w:t>ÁMBITO INTERNACIONAL:</w:t>
      </w:r>
    </w:p>
    <w:p w:rsidR="00786A47" w:rsidRPr="00786A47" w:rsidRDefault="00786A47" w:rsidP="00786A47">
      <w:pPr>
        <w:pStyle w:val="Textoindependiente"/>
        <w:jc w:val="both"/>
        <w:rPr>
          <w:sz w:val="22"/>
          <w:szCs w:val="22"/>
        </w:rPr>
      </w:pPr>
    </w:p>
    <w:p w:rsidR="00786A47" w:rsidRPr="00786A47" w:rsidRDefault="00786A47" w:rsidP="00786A47">
      <w:pPr>
        <w:pStyle w:val="Textoindependiente3"/>
        <w:jc w:val="both"/>
        <w:rPr>
          <w:rFonts w:ascii="Arial" w:hAnsi="Arial" w:cs="Arial"/>
          <w:sz w:val="22"/>
          <w:szCs w:val="22"/>
        </w:rPr>
      </w:pPr>
      <w:r w:rsidRPr="00786A47">
        <w:rPr>
          <w:rFonts w:ascii="Arial" w:hAnsi="Arial" w:cs="Arial"/>
          <w:sz w:val="22"/>
          <w:szCs w:val="22"/>
        </w:rPr>
        <w:lastRenderedPageBreak/>
        <w:t>Existen numerosos pronunciamientos que recogen la nueva tendencia y la aspiración de la humanidad por generar unos límites a las intervenciones de la ciencia en el ser humano y en general de todos los seres vivos.</w:t>
      </w:r>
    </w:p>
    <w:p w:rsidR="00786A47" w:rsidRPr="00786A47" w:rsidRDefault="00786A47" w:rsidP="00786A47">
      <w:pPr>
        <w:jc w:val="both"/>
        <w:rPr>
          <w:rFonts w:ascii="Arial" w:hAnsi="Arial" w:cs="Arial"/>
          <w:sz w:val="22"/>
          <w:szCs w:val="22"/>
          <w:lang w:val="es-MX"/>
        </w:rPr>
      </w:pPr>
    </w:p>
    <w:p w:rsidR="00786A47" w:rsidRPr="00786A47" w:rsidRDefault="00786A47" w:rsidP="00786A47">
      <w:pPr>
        <w:jc w:val="both"/>
        <w:rPr>
          <w:rFonts w:ascii="Arial" w:hAnsi="Arial" w:cs="Arial"/>
          <w:sz w:val="22"/>
          <w:szCs w:val="22"/>
          <w:lang w:val="es-MX"/>
        </w:rPr>
      </w:pPr>
      <w:r w:rsidRPr="00786A47">
        <w:rPr>
          <w:rFonts w:ascii="Arial" w:hAnsi="Arial" w:cs="Arial"/>
          <w:sz w:val="22"/>
          <w:szCs w:val="22"/>
          <w:lang w:val="es-MX"/>
        </w:rPr>
        <w:t>Tal como se plantea al inicio de este documento, se presentan los más relevantes con el fin de que se conviertan en referente, en especial de los grupos de investigación adscritos a la Vicerrectoría de Investigaciones. La tendencia actual es a romper el concepto de límites territoriales y especialmente de “fronteras”. Eso ha generado – entre otras cosas - que surjan a la vida jurídica, entes que pueden juzgar a delincuentes internacionales que han violado derechos humanos y que otrora encontraban refugio en los países.</w:t>
      </w:r>
    </w:p>
    <w:p w:rsidR="00786A47" w:rsidRPr="00786A47" w:rsidRDefault="00786A47" w:rsidP="00786A47">
      <w:pPr>
        <w:jc w:val="both"/>
        <w:rPr>
          <w:rFonts w:ascii="Arial" w:hAnsi="Arial" w:cs="Arial"/>
          <w:sz w:val="22"/>
          <w:szCs w:val="22"/>
          <w:lang w:val="es-MX"/>
        </w:rPr>
      </w:pPr>
    </w:p>
    <w:p w:rsidR="00786A47" w:rsidRPr="00786A47" w:rsidRDefault="00786A47" w:rsidP="00786A47">
      <w:pPr>
        <w:pStyle w:val="Textoindependiente3"/>
        <w:jc w:val="both"/>
        <w:rPr>
          <w:rFonts w:ascii="Arial" w:hAnsi="Arial" w:cs="Arial"/>
          <w:sz w:val="22"/>
          <w:szCs w:val="22"/>
        </w:rPr>
      </w:pPr>
      <w:r w:rsidRPr="00786A47">
        <w:rPr>
          <w:rFonts w:ascii="Arial" w:hAnsi="Arial" w:cs="Arial"/>
          <w:sz w:val="22"/>
          <w:szCs w:val="22"/>
        </w:rPr>
        <w:t>El sueño de la Corte Penal Internacional hasta hace pocos años era una utopía. Era impensable que los conceptos de “autodeterminación de los pueblos” y “soberanía” pudieran reevaluarse hacia una visión de globalización, no solamente de los problemas sino también de las posibles soluciones y persecuciones de estos delincuentes.</w:t>
      </w:r>
    </w:p>
    <w:p w:rsidR="00786A47" w:rsidRPr="00786A47" w:rsidRDefault="00786A47" w:rsidP="00786A47">
      <w:pPr>
        <w:jc w:val="both"/>
        <w:rPr>
          <w:rFonts w:ascii="Arial" w:hAnsi="Arial" w:cs="Arial"/>
          <w:sz w:val="22"/>
          <w:szCs w:val="22"/>
          <w:lang w:val="es-MX"/>
        </w:rPr>
      </w:pPr>
    </w:p>
    <w:p w:rsidR="00786A47" w:rsidRPr="00786A47" w:rsidRDefault="00786A47" w:rsidP="00786A47">
      <w:pPr>
        <w:jc w:val="both"/>
        <w:rPr>
          <w:rFonts w:ascii="Arial" w:hAnsi="Arial" w:cs="Arial"/>
          <w:sz w:val="22"/>
          <w:szCs w:val="22"/>
          <w:lang w:val="es-MX"/>
        </w:rPr>
      </w:pPr>
      <w:r w:rsidRPr="00786A47">
        <w:rPr>
          <w:rFonts w:ascii="Arial" w:hAnsi="Arial" w:cs="Arial"/>
          <w:sz w:val="22"/>
          <w:szCs w:val="22"/>
          <w:lang w:val="es-MX"/>
        </w:rPr>
        <w:t xml:space="preserve">Hoy en día, es una realidad y el Convenio de Roma está en plena aplicación, siendo Colombia parte de las naciones que han adherido a dicho sistema de juzgamiento de esta clase de delincuencia: La </w:t>
      </w:r>
      <w:r w:rsidRPr="00786A47">
        <w:rPr>
          <w:rFonts w:ascii="Arial" w:hAnsi="Arial" w:cs="Arial"/>
          <w:b/>
          <w:bCs/>
          <w:i/>
          <w:iCs/>
          <w:sz w:val="22"/>
          <w:szCs w:val="22"/>
          <w:lang w:val="es-MX"/>
        </w:rPr>
        <w:t xml:space="preserve">Jurisdicción universal </w:t>
      </w:r>
      <w:r w:rsidRPr="00786A47">
        <w:rPr>
          <w:rFonts w:ascii="Arial" w:hAnsi="Arial" w:cs="Arial"/>
          <w:sz w:val="22"/>
          <w:szCs w:val="22"/>
          <w:lang w:val="es-MX"/>
        </w:rPr>
        <w:t>es un hecho. Si a esta figura le agregamos lo referente a los tratados y convenios que existen alrededor de la investigación, encontraremos un buen apalancamiento para que se regule y se apliquen internamente las normas pertinentes que ayuden a que la investigación científica, tenga de un lado, unos límites claros que atemperen la necesidad de lograr los conocimientos necesarios para la evolución de la humanidad, pero que no olvide de manera primordial,  los derechos humanos de quien participa como sujeto pasivo de los investigadores.</w:t>
      </w:r>
    </w:p>
    <w:p w:rsidR="00786A47" w:rsidRPr="00786A47" w:rsidRDefault="00786A47" w:rsidP="00786A47">
      <w:pPr>
        <w:jc w:val="both"/>
        <w:rPr>
          <w:rFonts w:ascii="Arial" w:hAnsi="Arial" w:cs="Arial"/>
          <w:sz w:val="22"/>
          <w:szCs w:val="22"/>
          <w:lang w:val="es-MX"/>
        </w:rPr>
      </w:pPr>
    </w:p>
    <w:p w:rsidR="00786A47" w:rsidRPr="00786A47" w:rsidRDefault="00786A47" w:rsidP="00786A47">
      <w:pPr>
        <w:pStyle w:val="Textoindependiente3"/>
        <w:jc w:val="both"/>
        <w:rPr>
          <w:rFonts w:ascii="Arial" w:hAnsi="Arial" w:cs="Arial"/>
          <w:sz w:val="22"/>
          <w:szCs w:val="22"/>
        </w:rPr>
      </w:pPr>
      <w:r w:rsidRPr="00786A47">
        <w:rPr>
          <w:rFonts w:ascii="Arial" w:hAnsi="Arial" w:cs="Arial"/>
          <w:sz w:val="22"/>
          <w:szCs w:val="22"/>
        </w:rPr>
        <w:t xml:space="preserve">A </w:t>
      </w:r>
      <w:r w:rsidR="00985B3B" w:rsidRPr="00786A47">
        <w:rPr>
          <w:rFonts w:ascii="Arial" w:hAnsi="Arial" w:cs="Arial"/>
          <w:sz w:val="22"/>
          <w:szCs w:val="22"/>
        </w:rPr>
        <w:t>continuación,</w:t>
      </w:r>
      <w:r w:rsidRPr="00786A47">
        <w:rPr>
          <w:rFonts w:ascii="Arial" w:hAnsi="Arial" w:cs="Arial"/>
          <w:sz w:val="22"/>
          <w:szCs w:val="22"/>
        </w:rPr>
        <w:t xml:space="preserve"> se presentan como información importante, los más relevantes convenios y tratados que se han generado en torno al tema de la bioética o afines (consentimiento informado, límites y requisitos de las investigaciones en seres humanos, etc.).</w:t>
      </w:r>
    </w:p>
    <w:p w:rsidR="00786A47" w:rsidRPr="00786A47" w:rsidRDefault="00786A47" w:rsidP="00786A47">
      <w:pPr>
        <w:jc w:val="both"/>
        <w:rPr>
          <w:rFonts w:ascii="Arial" w:hAnsi="Arial" w:cs="Arial"/>
          <w:sz w:val="22"/>
          <w:szCs w:val="22"/>
          <w:lang w:val="es-MX"/>
        </w:rPr>
      </w:pPr>
    </w:p>
    <w:p w:rsidR="00786A47" w:rsidRPr="00786A47" w:rsidRDefault="00786A47" w:rsidP="00786A47">
      <w:pPr>
        <w:jc w:val="both"/>
        <w:rPr>
          <w:rFonts w:ascii="Arial" w:hAnsi="Arial" w:cs="Arial"/>
          <w:sz w:val="22"/>
          <w:szCs w:val="22"/>
          <w:lang w:val="es-MX"/>
        </w:rPr>
      </w:pPr>
      <w:r w:rsidRPr="00786A47">
        <w:rPr>
          <w:rFonts w:ascii="Arial" w:hAnsi="Arial" w:cs="Arial"/>
          <w:sz w:val="22"/>
          <w:szCs w:val="22"/>
          <w:lang w:val="es-MX"/>
        </w:rPr>
        <w:t>Al final de este documento se encuentran las referencias bibliográficas con el fin de que puedan ser consultados en una mayor profundidad.</w:t>
      </w:r>
    </w:p>
    <w:p w:rsidR="00786A47" w:rsidRPr="00786A47" w:rsidRDefault="00786A47" w:rsidP="00786A47">
      <w:pPr>
        <w:jc w:val="both"/>
        <w:rPr>
          <w:rFonts w:ascii="Arial" w:hAnsi="Arial" w:cs="Arial"/>
          <w:sz w:val="22"/>
          <w:szCs w:val="22"/>
          <w:lang w:val="es-MX"/>
        </w:rPr>
      </w:pPr>
    </w:p>
    <w:p w:rsidR="00786A47" w:rsidRPr="00786A47" w:rsidRDefault="00786A47" w:rsidP="00786A47">
      <w:pPr>
        <w:numPr>
          <w:ilvl w:val="0"/>
          <w:numId w:val="33"/>
        </w:numPr>
        <w:jc w:val="both"/>
        <w:rPr>
          <w:rFonts w:ascii="Arial" w:hAnsi="Arial" w:cs="Arial"/>
          <w:sz w:val="22"/>
          <w:szCs w:val="22"/>
          <w:lang w:val="es-MX"/>
        </w:rPr>
      </w:pPr>
      <w:r w:rsidRPr="00786A47">
        <w:rPr>
          <w:rFonts w:ascii="Arial" w:hAnsi="Arial" w:cs="Arial"/>
          <w:b/>
          <w:bCs/>
          <w:i/>
          <w:iCs/>
          <w:sz w:val="22"/>
          <w:szCs w:val="22"/>
          <w:lang w:val="es-MX"/>
        </w:rPr>
        <w:t>Código de Nuremberg</w:t>
      </w:r>
      <w:r w:rsidRPr="00786A47">
        <w:rPr>
          <w:rStyle w:val="Refdenotaalpie"/>
          <w:rFonts w:ascii="Arial" w:hAnsi="Arial" w:cs="Arial"/>
          <w:b/>
          <w:bCs/>
          <w:i/>
          <w:iCs/>
          <w:sz w:val="22"/>
          <w:szCs w:val="22"/>
          <w:lang w:val="es-MX"/>
        </w:rPr>
        <w:footnoteReference w:id="7"/>
      </w:r>
      <w:r w:rsidRPr="00786A47">
        <w:rPr>
          <w:rFonts w:ascii="Arial" w:hAnsi="Arial" w:cs="Arial"/>
          <w:sz w:val="22"/>
          <w:szCs w:val="22"/>
          <w:lang w:val="es-MX"/>
        </w:rPr>
        <w:t>. Fue generado en 1947.</w:t>
      </w:r>
    </w:p>
    <w:p w:rsidR="00786A47" w:rsidRPr="00786A47" w:rsidRDefault="00786A47" w:rsidP="00786A47">
      <w:pPr>
        <w:jc w:val="both"/>
        <w:rPr>
          <w:rFonts w:ascii="Arial" w:hAnsi="Arial" w:cs="Arial"/>
          <w:sz w:val="22"/>
          <w:szCs w:val="22"/>
          <w:lang w:val="es-MX"/>
        </w:rPr>
      </w:pPr>
    </w:p>
    <w:p w:rsidR="00786A47" w:rsidRPr="00786A47" w:rsidRDefault="00786A47" w:rsidP="00786A47">
      <w:pPr>
        <w:jc w:val="both"/>
        <w:rPr>
          <w:rFonts w:ascii="Arial" w:hAnsi="Arial" w:cs="Arial"/>
          <w:sz w:val="22"/>
          <w:szCs w:val="22"/>
          <w:lang w:val="es-MX"/>
        </w:rPr>
      </w:pPr>
      <w:r w:rsidRPr="00786A47">
        <w:rPr>
          <w:rFonts w:ascii="Arial" w:hAnsi="Arial" w:cs="Arial"/>
          <w:sz w:val="22"/>
          <w:szCs w:val="22"/>
          <w:lang w:val="es-MX"/>
        </w:rPr>
        <w:lastRenderedPageBreak/>
        <w:t xml:space="preserve">Recoge principalmente </w:t>
      </w:r>
      <w:r w:rsidR="00CE6147" w:rsidRPr="00786A47">
        <w:rPr>
          <w:rFonts w:ascii="Arial" w:hAnsi="Arial" w:cs="Arial"/>
          <w:sz w:val="22"/>
          <w:szCs w:val="22"/>
          <w:lang w:val="es-MX"/>
        </w:rPr>
        <w:t>los</w:t>
      </w:r>
      <w:r w:rsidRPr="00786A47">
        <w:rPr>
          <w:rFonts w:ascii="Arial" w:hAnsi="Arial" w:cs="Arial"/>
          <w:sz w:val="22"/>
          <w:szCs w:val="22"/>
          <w:lang w:val="es-MX"/>
        </w:rPr>
        <w:t xml:space="preserve"> siguientes conceptos:</w:t>
      </w:r>
    </w:p>
    <w:p w:rsidR="00786A47" w:rsidRPr="00786A47" w:rsidRDefault="00786A47" w:rsidP="00786A47">
      <w:pPr>
        <w:jc w:val="both"/>
        <w:rPr>
          <w:rFonts w:ascii="Arial" w:hAnsi="Arial" w:cs="Arial"/>
          <w:sz w:val="22"/>
          <w:szCs w:val="22"/>
          <w:lang w:val="es-MX"/>
        </w:rPr>
      </w:pPr>
    </w:p>
    <w:p w:rsidR="00786A47" w:rsidRPr="00786A47" w:rsidRDefault="00786A47" w:rsidP="00786A47">
      <w:pPr>
        <w:numPr>
          <w:ilvl w:val="1"/>
          <w:numId w:val="33"/>
        </w:numPr>
        <w:jc w:val="both"/>
        <w:rPr>
          <w:rFonts w:ascii="Arial" w:hAnsi="Arial" w:cs="Arial"/>
          <w:sz w:val="22"/>
          <w:szCs w:val="22"/>
          <w:lang w:val="es-MX"/>
        </w:rPr>
      </w:pPr>
      <w:r w:rsidRPr="00786A47">
        <w:rPr>
          <w:rFonts w:ascii="Arial" w:hAnsi="Arial" w:cs="Arial"/>
          <w:sz w:val="22"/>
          <w:szCs w:val="22"/>
          <w:lang w:val="es-MX"/>
        </w:rPr>
        <w:t xml:space="preserve">Necesidad del consentimiento voluntario del sujeto humano. Esto en lo que tiene que ver con los experimentos que los afecten. </w:t>
      </w:r>
    </w:p>
    <w:p w:rsidR="00786A47" w:rsidRPr="00786A47" w:rsidRDefault="00786A47" w:rsidP="00786A47">
      <w:pPr>
        <w:numPr>
          <w:ilvl w:val="1"/>
          <w:numId w:val="33"/>
        </w:numPr>
        <w:jc w:val="both"/>
        <w:rPr>
          <w:rFonts w:ascii="Arial" w:hAnsi="Arial" w:cs="Arial"/>
          <w:sz w:val="22"/>
          <w:szCs w:val="22"/>
          <w:lang w:val="es-MX"/>
        </w:rPr>
      </w:pPr>
      <w:r w:rsidRPr="00786A47">
        <w:rPr>
          <w:rFonts w:ascii="Arial" w:hAnsi="Arial" w:cs="Arial"/>
          <w:sz w:val="22"/>
          <w:szCs w:val="22"/>
          <w:lang w:val="es-MX"/>
        </w:rPr>
        <w:t>El experimento debe realizarse si son necesarios y no existe otro método para obtener los resultados. Adicional a ello, debe producir resultados positivos para la sociedad.</w:t>
      </w:r>
    </w:p>
    <w:p w:rsidR="00786A47" w:rsidRPr="00786A47" w:rsidRDefault="00786A47" w:rsidP="00786A47">
      <w:pPr>
        <w:numPr>
          <w:ilvl w:val="1"/>
          <w:numId w:val="33"/>
        </w:numPr>
        <w:jc w:val="both"/>
        <w:rPr>
          <w:rFonts w:ascii="Arial" w:hAnsi="Arial" w:cs="Arial"/>
          <w:sz w:val="22"/>
          <w:szCs w:val="22"/>
          <w:lang w:val="es-MX"/>
        </w:rPr>
      </w:pPr>
      <w:r w:rsidRPr="00786A47">
        <w:rPr>
          <w:rFonts w:ascii="Arial" w:hAnsi="Arial" w:cs="Arial"/>
          <w:sz w:val="22"/>
          <w:szCs w:val="22"/>
          <w:lang w:val="es-MX"/>
        </w:rPr>
        <w:t>Deben realizarse previamente experimentos con animales.</w:t>
      </w:r>
    </w:p>
    <w:p w:rsidR="00786A47" w:rsidRPr="00786A47" w:rsidRDefault="00786A47" w:rsidP="00786A47">
      <w:pPr>
        <w:numPr>
          <w:ilvl w:val="1"/>
          <w:numId w:val="33"/>
        </w:numPr>
        <w:jc w:val="both"/>
        <w:rPr>
          <w:rFonts w:ascii="Arial" w:hAnsi="Arial" w:cs="Arial"/>
          <w:sz w:val="22"/>
          <w:szCs w:val="22"/>
          <w:lang w:val="es-MX"/>
        </w:rPr>
      </w:pPr>
      <w:r w:rsidRPr="00786A47">
        <w:rPr>
          <w:rFonts w:ascii="Arial" w:hAnsi="Arial" w:cs="Arial"/>
          <w:sz w:val="22"/>
          <w:szCs w:val="22"/>
          <w:lang w:val="es-MX"/>
        </w:rPr>
        <w:t>No debe producir daño innecesario.</w:t>
      </w:r>
    </w:p>
    <w:p w:rsidR="00786A47" w:rsidRPr="00786A47" w:rsidRDefault="00786A47" w:rsidP="00786A47">
      <w:pPr>
        <w:jc w:val="both"/>
        <w:rPr>
          <w:rFonts w:ascii="Arial" w:hAnsi="Arial" w:cs="Arial"/>
          <w:sz w:val="22"/>
          <w:szCs w:val="22"/>
          <w:lang w:val="es-MX"/>
        </w:rPr>
      </w:pPr>
    </w:p>
    <w:p w:rsidR="00786A47" w:rsidRPr="00786A47" w:rsidRDefault="00786A47" w:rsidP="00786A47">
      <w:pPr>
        <w:jc w:val="both"/>
        <w:rPr>
          <w:rFonts w:ascii="Arial" w:hAnsi="Arial" w:cs="Arial"/>
          <w:sz w:val="22"/>
          <w:szCs w:val="22"/>
          <w:lang w:val="es-MX"/>
        </w:rPr>
      </w:pPr>
      <w:r w:rsidRPr="00786A47">
        <w:rPr>
          <w:rFonts w:ascii="Arial" w:hAnsi="Arial" w:cs="Arial"/>
          <w:sz w:val="22"/>
          <w:szCs w:val="22"/>
          <w:lang w:val="es-MX"/>
        </w:rPr>
        <w:t xml:space="preserve">2. </w:t>
      </w:r>
      <w:r w:rsidRPr="00786A47">
        <w:rPr>
          <w:rFonts w:ascii="Arial" w:hAnsi="Arial" w:cs="Arial"/>
          <w:b/>
          <w:bCs/>
          <w:i/>
          <w:iCs/>
          <w:sz w:val="22"/>
          <w:szCs w:val="22"/>
          <w:lang w:val="es-MX"/>
        </w:rPr>
        <w:t>Declaración de Helsinki</w:t>
      </w:r>
      <w:r w:rsidRPr="00786A47">
        <w:rPr>
          <w:rStyle w:val="Refdenotaalpie"/>
          <w:rFonts w:ascii="Arial" w:hAnsi="Arial" w:cs="Arial"/>
          <w:b/>
          <w:bCs/>
          <w:i/>
          <w:iCs/>
          <w:sz w:val="22"/>
          <w:szCs w:val="22"/>
          <w:lang w:val="es-MX"/>
        </w:rPr>
        <w:footnoteReference w:id="8"/>
      </w:r>
      <w:r w:rsidRPr="00786A47">
        <w:rPr>
          <w:rFonts w:ascii="Arial" w:hAnsi="Arial" w:cs="Arial"/>
          <w:b/>
          <w:bCs/>
          <w:i/>
          <w:iCs/>
          <w:sz w:val="22"/>
          <w:szCs w:val="22"/>
          <w:lang w:val="es-MX"/>
        </w:rPr>
        <w:t xml:space="preserve"> </w:t>
      </w:r>
    </w:p>
    <w:p w:rsidR="00786A47" w:rsidRPr="00786A47" w:rsidRDefault="00786A47" w:rsidP="00786A47">
      <w:pPr>
        <w:jc w:val="both"/>
        <w:rPr>
          <w:rFonts w:ascii="Arial" w:hAnsi="Arial" w:cs="Arial"/>
          <w:sz w:val="22"/>
          <w:szCs w:val="22"/>
          <w:lang w:val="es-MX"/>
        </w:rPr>
      </w:pPr>
    </w:p>
    <w:p w:rsidR="00786A47" w:rsidRPr="00786A47" w:rsidRDefault="00786A47" w:rsidP="00786A47">
      <w:pPr>
        <w:jc w:val="both"/>
        <w:rPr>
          <w:rFonts w:ascii="Arial" w:hAnsi="Arial" w:cs="Arial"/>
          <w:sz w:val="22"/>
          <w:szCs w:val="22"/>
          <w:lang w:val="es-MX"/>
        </w:rPr>
      </w:pPr>
      <w:r w:rsidRPr="00786A47">
        <w:rPr>
          <w:rFonts w:ascii="Arial" w:hAnsi="Arial" w:cs="Arial"/>
          <w:sz w:val="22"/>
          <w:szCs w:val="22"/>
          <w:lang w:val="es-MX"/>
        </w:rPr>
        <w:t>Recomendaciones para guiar a los médicos en la investigación biomédica en seres humanos:</w:t>
      </w:r>
    </w:p>
    <w:p w:rsidR="00786A47" w:rsidRPr="00786A47" w:rsidRDefault="00786A47" w:rsidP="00786A47">
      <w:pPr>
        <w:jc w:val="both"/>
        <w:rPr>
          <w:rFonts w:ascii="Arial" w:hAnsi="Arial" w:cs="Arial"/>
          <w:sz w:val="22"/>
          <w:szCs w:val="22"/>
          <w:lang w:val="es-MX"/>
        </w:rPr>
      </w:pPr>
    </w:p>
    <w:p w:rsidR="00786A47" w:rsidRPr="00786A47" w:rsidRDefault="00786A47" w:rsidP="00786A47">
      <w:pPr>
        <w:jc w:val="both"/>
        <w:rPr>
          <w:rFonts w:ascii="Arial" w:hAnsi="Arial" w:cs="Arial"/>
          <w:sz w:val="22"/>
          <w:szCs w:val="22"/>
        </w:rPr>
      </w:pPr>
      <w:r w:rsidRPr="00786A47">
        <w:rPr>
          <w:rFonts w:ascii="Arial" w:hAnsi="Arial" w:cs="Arial"/>
          <w:sz w:val="22"/>
          <w:szCs w:val="22"/>
          <w:lang w:val="es-MX"/>
        </w:rPr>
        <w:t>Fue adoptada por la 18 Asamblea médica mundial (Helsinki), revisada por la 29 Asamblea médica mundial (Tokio 1975) y enmendada por la 35 Asamblea Médica Mundial (Venecia, 1983) y la 41 Asamblea Médica Mundial (Hong Kong, 1989)</w:t>
      </w:r>
      <w:r w:rsidRPr="00786A47">
        <w:rPr>
          <w:rFonts w:ascii="Arial" w:hAnsi="Arial" w:cs="Arial"/>
          <w:sz w:val="22"/>
          <w:szCs w:val="22"/>
        </w:rPr>
        <w:t>.</w:t>
      </w:r>
    </w:p>
    <w:p w:rsidR="00786A47" w:rsidRPr="00786A47" w:rsidRDefault="00786A47" w:rsidP="00786A47">
      <w:pPr>
        <w:jc w:val="both"/>
        <w:rPr>
          <w:rFonts w:ascii="Arial" w:eastAsia="Arial Unicode MS" w:hAnsi="Arial" w:cs="Arial"/>
          <w:sz w:val="22"/>
          <w:szCs w:val="22"/>
        </w:rPr>
      </w:pPr>
    </w:p>
    <w:p w:rsidR="00786A47" w:rsidRPr="00786A47" w:rsidRDefault="00786A47" w:rsidP="00786A47">
      <w:pPr>
        <w:jc w:val="both"/>
        <w:rPr>
          <w:rFonts w:ascii="Arial" w:hAnsi="Arial" w:cs="Arial"/>
          <w:b/>
          <w:bCs/>
          <w:i/>
          <w:iCs/>
          <w:sz w:val="22"/>
          <w:szCs w:val="22"/>
          <w:lang w:val="es-MX"/>
        </w:rPr>
      </w:pPr>
      <w:r w:rsidRPr="00786A47">
        <w:rPr>
          <w:rFonts w:ascii="Arial" w:hAnsi="Arial" w:cs="Arial"/>
          <w:sz w:val="22"/>
          <w:szCs w:val="22"/>
          <w:lang w:val="es-MX"/>
        </w:rPr>
        <w:t xml:space="preserve">3. </w:t>
      </w:r>
      <w:r w:rsidRPr="00786A47">
        <w:rPr>
          <w:rFonts w:ascii="Arial" w:hAnsi="Arial" w:cs="Arial"/>
          <w:b/>
          <w:bCs/>
          <w:i/>
          <w:iCs/>
          <w:sz w:val="22"/>
          <w:szCs w:val="22"/>
          <w:lang w:val="es-MX"/>
        </w:rPr>
        <w:t>Declaración Universal sobre Genoma humano y los Derechos Humanos</w:t>
      </w:r>
    </w:p>
    <w:p w:rsidR="00786A47" w:rsidRPr="00786A47" w:rsidRDefault="00786A47" w:rsidP="00786A47">
      <w:pPr>
        <w:jc w:val="both"/>
        <w:rPr>
          <w:rFonts w:ascii="Arial" w:hAnsi="Arial" w:cs="Arial"/>
          <w:sz w:val="22"/>
          <w:szCs w:val="22"/>
          <w:lang w:val="es-MX"/>
        </w:rPr>
      </w:pPr>
    </w:p>
    <w:p w:rsidR="00786A47" w:rsidRPr="00786A47" w:rsidRDefault="00786A47" w:rsidP="00786A47">
      <w:pPr>
        <w:jc w:val="both"/>
        <w:rPr>
          <w:rFonts w:ascii="Arial" w:hAnsi="Arial" w:cs="Arial"/>
          <w:sz w:val="22"/>
          <w:szCs w:val="22"/>
          <w:lang w:val="es-MX"/>
        </w:rPr>
      </w:pPr>
      <w:r w:rsidRPr="00786A47">
        <w:rPr>
          <w:rFonts w:ascii="Arial" w:hAnsi="Arial" w:cs="Arial"/>
          <w:sz w:val="22"/>
          <w:szCs w:val="22"/>
          <w:lang w:val="es-MX"/>
        </w:rPr>
        <w:t xml:space="preserve">En el artículo 20 implementa el siguiente concepto: </w:t>
      </w:r>
    </w:p>
    <w:p w:rsidR="00786A47" w:rsidRPr="00786A47" w:rsidRDefault="00786A47" w:rsidP="00786A47">
      <w:pPr>
        <w:jc w:val="both"/>
        <w:rPr>
          <w:rFonts w:ascii="Arial" w:hAnsi="Arial" w:cs="Arial"/>
          <w:sz w:val="22"/>
          <w:szCs w:val="22"/>
          <w:lang w:val="es-MX"/>
        </w:rPr>
      </w:pPr>
    </w:p>
    <w:p w:rsidR="00786A47" w:rsidRPr="00786A47" w:rsidRDefault="00786A47" w:rsidP="00786A47">
      <w:pPr>
        <w:ind w:left="708"/>
        <w:jc w:val="both"/>
        <w:rPr>
          <w:rFonts w:ascii="Arial" w:hAnsi="Arial" w:cs="Arial"/>
          <w:sz w:val="22"/>
          <w:szCs w:val="22"/>
          <w:lang w:val="es-MX"/>
        </w:rPr>
      </w:pPr>
      <w:r w:rsidRPr="00786A47">
        <w:rPr>
          <w:rFonts w:ascii="Arial" w:hAnsi="Arial" w:cs="Arial"/>
          <w:sz w:val="22"/>
          <w:szCs w:val="22"/>
          <w:lang w:val="es-MX"/>
        </w:rPr>
        <w:t>“</w:t>
      </w:r>
      <w:r w:rsidRPr="00786A47">
        <w:rPr>
          <w:rFonts w:ascii="Arial" w:hAnsi="Arial" w:cs="Arial"/>
          <w:i/>
          <w:iCs/>
          <w:sz w:val="22"/>
          <w:szCs w:val="22"/>
          <w:lang w:val="es-MX"/>
        </w:rPr>
        <w:t xml:space="preserve">Los Estados formarán las medidas adecuadas para fomentar los principios establecidos en la Declaración, a través de la educación y otros medios pertinentes y en particular, entre otras cosas, la investigación y formación en campos interdisciplinarios y el fomento de la educación en materia de bioética, en todos los niveles, particularmente para los responsables de </w:t>
      </w:r>
      <w:r w:rsidR="00985B3B" w:rsidRPr="00786A47">
        <w:rPr>
          <w:rFonts w:ascii="Arial" w:hAnsi="Arial" w:cs="Arial"/>
          <w:i/>
          <w:iCs/>
          <w:sz w:val="22"/>
          <w:szCs w:val="22"/>
          <w:lang w:val="es-MX"/>
        </w:rPr>
        <w:t>las políticas científicas</w:t>
      </w:r>
      <w:r w:rsidRPr="00786A47">
        <w:rPr>
          <w:rFonts w:ascii="Arial" w:hAnsi="Arial" w:cs="Arial"/>
          <w:sz w:val="22"/>
          <w:szCs w:val="22"/>
          <w:lang w:val="es-MX"/>
        </w:rPr>
        <w:t>”</w:t>
      </w:r>
    </w:p>
    <w:p w:rsidR="00786A47" w:rsidRPr="00786A47" w:rsidRDefault="00786A47" w:rsidP="00786A47">
      <w:pPr>
        <w:jc w:val="both"/>
        <w:rPr>
          <w:rFonts w:ascii="Arial" w:hAnsi="Arial" w:cs="Arial"/>
          <w:sz w:val="22"/>
          <w:szCs w:val="22"/>
          <w:lang w:val="es-MX"/>
        </w:rPr>
      </w:pPr>
    </w:p>
    <w:p w:rsidR="00786A47" w:rsidRPr="00786A47" w:rsidRDefault="00786A47" w:rsidP="00786A47">
      <w:pPr>
        <w:jc w:val="both"/>
        <w:rPr>
          <w:rFonts w:ascii="Arial" w:hAnsi="Arial" w:cs="Arial"/>
          <w:sz w:val="22"/>
          <w:szCs w:val="22"/>
          <w:lang w:val="es-MX"/>
        </w:rPr>
      </w:pPr>
      <w:r w:rsidRPr="00786A47">
        <w:rPr>
          <w:rFonts w:ascii="Arial" w:hAnsi="Arial" w:cs="Arial"/>
          <w:sz w:val="22"/>
          <w:szCs w:val="22"/>
          <w:lang w:val="es-MX"/>
        </w:rPr>
        <w:t xml:space="preserve">4. </w:t>
      </w:r>
      <w:r w:rsidRPr="00786A47">
        <w:rPr>
          <w:rFonts w:ascii="Arial" w:hAnsi="Arial" w:cs="Arial"/>
          <w:b/>
          <w:bCs/>
          <w:i/>
          <w:iCs/>
          <w:sz w:val="22"/>
          <w:szCs w:val="22"/>
          <w:lang w:val="es-MX"/>
        </w:rPr>
        <w:t xml:space="preserve">Convenio Universal a los Derechos Humanos y la Biomedicina </w:t>
      </w:r>
      <w:r w:rsidRPr="00786A47">
        <w:rPr>
          <w:rFonts w:ascii="Arial" w:hAnsi="Arial" w:cs="Arial"/>
          <w:sz w:val="22"/>
          <w:szCs w:val="22"/>
          <w:lang w:val="es-MX"/>
        </w:rPr>
        <w:t>(Aprobado por el Comité de Ministros el 19 de noviembre de 1996)</w:t>
      </w:r>
    </w:p>
    <w:p w:rsidR="00786A47" w:rsidRPr="00786A47" w:rsidRDefault="00786A47" w:rsidP="00786A47">
      <w:pPr>
        <w:jc w:val="both"/>
        <w:rPr>
          <w:rFonts w:ascii="Arial" w:hAnsi="Arial" w:cs="Arial"/>
          <w:sz w:val="22"/>
          <w:szCs w:val="22"/>
        </w:rPr>
      </w:pPr>
    </w:p>
    <w:p w:rsidR="00786A47" w:rsidRPr="00786A47" w:rsidRDefault="00786A47" w:rsidP="00786A47">
      <w:pPr>
        <w:jc w:val="both"/>
        <w:rPr>
          <w:rFonts w:ascii="Arial" w:hAnsi="Arial" w:cs="Arial"/>
          <w:i/>
          <w:iCs/>
          <w:sz w:val="22"/>
          <w:szCs w:val="22"/>
          <w:lang w:val="es-MX"/>
        </w:rPr>
      </w:pPr>
      <w:r w:rsidRPr="00786A47">
        <w:rPr>
          <w:rFonts w:ascii="Arial" w:hAnsi="Arial" w:cs="Arial"/>
          <w:sz w:val="22"/>
          <w:szCs w:val="22"/>
          <w:lang w:val="es-MX"/>
        </w:rPr>
        <w:t>“Artículo 1: (Objeto y finalidad)</w:t>
      </w:r>
      <w:r w:rsidRPr="00786A47">
        <w:rPr>
          <w:rFonts w:ascii="Arial" w:hAnsi="Arial" w:cs="Arial"/>
          <w:i/>
          <w:iCs/>
          <w:sz w:val="22"/>
          <w:szCs w:val="22"/>
          <w:lang w:val="es-MX"/>
        </w:rPr>
        <w:t xml:space="preserve"> </w:t>
      </w:r>
    </w:p>
    <w:p w:rsidR="00786A47" w:rsidRPr="00786A47" w:rsidRDefault="00786A47" w:rsidP="00786A47">
      <w:pPr>
        <w:jc w:val="both"/>
        <w:rPr>
          <w:rFonts w:ascii="Arial" w:hAnsi="Arial" w:cs="Arial"/>
          <w:i/>
          <w:iCs/>
          <w:sz w:val="22"/>
          <w:szCs w:val="22"/>
          <w:lang w:val="es-MX"/>
        </w:rPr>
      </w:pPr>
    </w:p>
    <w:p w:rsidR="00786A47" w:rsidRPr="00786A47" w:rsidRDefault="00786A47" w:rsidP="00786A47">
      <w:pPr>
        <w:ind w:left="708"/>
        <w:jc w:val="both"/>
        <w:rPr>
          <w:rFonts w:ascii="Arial" w:hAnsi="Arial" w:cs="Arial"/>
          <w:sz w:val="22"/>
          <w:szCs w:val="22"/>
          <w:lang w:val="es-MX"/>
        </w:rPr>
      </w:pPr>
      <w:r w:rsidRPr="00786A47">
        <w:rPr>
          <w:rFonts w:ascii="Arial" w:hAnsi="Arial" w:cs="Arial"/>
          <w:i/>
          <w:iCs/>
          <w:sz w:val="22"/>
          <w:szCs w:val="22"/>
          <w:lang w:val="es-MX"/>
        </w:rPr>
        <w:t>Las partes en el presente Convenio protegerán al ser humano en su dignida</w:t>
      </w:r>
      <w:r w:rsidR="00985B3B">
        <w:rPr>
          <w:rFonts w:ascii="Arial" w:hAnsi="Arial" w:cs="Arial"/>
          <w:i/>
          <w:iCs/>
          <w:sz w:val="22"/>
          <w:szCs w:val="22"/>
          <w:lang w:val="es-MX"/>
        </w:rPr>
        <w:t>d y su identidad y garantizarán</w:t>
      </w:r>
      <w:r w:rsidRPr="00786A47">
        <w:rPr>
          <w:rFonts w:ascii="Arial" w:hAnsi="Arial" w:cs="Arial"/>
          <w:i/>
          <w:iCs/>
          <w:sz w:val="22"/>
          <w:szCs w:val="22"/>
          <w:lang w:val="es-MX"/>
        </w:rPr>
        <w:t xml:space="preserve"> a toda persona, sin discriminación alguna, el respeto a su integridad y a sus demás derechos y libertades fundamentales con respeto a las aplicaciones de la biología y la medicina</w:t>
      </w:r>
      <w:r w:rsidRPr="00786A47">
        <w:rPr>
          <w:rFonts w:ascii="Arial" w:hAnsi="Arial" w:cs="Arial"/>
          <w:sz w:val="22"/>
          <w:szCs w:val="22"/>
          <w:lang w:val="es-MX"/>
        </w:rPr>
        <w:t>”</w:t>
      </w:r>
    </w:p>
    <w:p w:rsidR="00786A47" w:rsidRPr="00786A47" w:rsidRDefault="00786A47" w:rsidP="00786A47">
      <w:pPr>
        <w:jc w:val="both"/>
        <w:rPr>
          <w:rFonts w:ascii="Arial" w:hAnsi="Arial" w:cs="Arial"/>
          <w:sz w:val="22"/>
          <w:szCs w:val="22"/>
          <w:lang w:val="es-MX"/>
        </w:rPr>
      </w:pPr>
    </w:p>
    <w:p w:rsidR="00786A47" w:rsidRPr="00786A47" w:rsidRDefault="00786A47" w:rsidP="00786A47">
      <w:pPr>
        <w:jc w:val="both"/>
        <w:rPr>
          <w:rFonts w:ascii="Arial" w:hAnsi="Arial" w:cs="Arial"/>
          <w:sz w:val="22"/>
          <w:szCs w:val="22"/>
          <w:lang w:val="es-MX"/>
        </w:rPr>
      </w:pPr>
      <w:r w:rsidRPr="00786A47">
        <w:rPr>
          <w:rFonts w:ascii="Arial" w:hAnsi="Arial" w:cs="Arial"/>
          <w:sz w:val="22"/>
          <w:szCs w:val="22"/>
          <w:lang w:val="es-MX"/>
        </w:rPr>
        <w:t xml:space="preserve">“Artículo 5: (Regla general) </w:t>
      </w:r>
    </w:p>
    <w:p w:rsidR="00786A47" w:rsidRPr="00786A47" w:rsidRDefault="00786A47" w:rsidP="00786A47">
      <w:pPr>
        <w:jc w:val="both"/>
        <w:rPr>
          <w:rFonts w:ascii="Arial" w:hAnsi="Arial" w:cs="Arial"/>
          <w:sz w:val="22"/>
          <w:szCs w:val="22"/>
          <w:lang w:val="es-MX"/>
        </w:rPr>
      </w:pPr>
    </w:p>
    <w:p w:rsidR="00786A47" w:rsidRPr="00786A47" w:rsidRDefault="00786A47" w:rsidP="00786A47">
      <w:pPr>
        <w:ind w:left="708"/>
        <w:jc w:val="both"/>
        <w:rPr>
          <w:rFonts w:ascii="Arial" w:hAnsi="Arial" w:cs="Arial"/>
          <w:sz w:val="22"/>
          <w:szCs w:val="22"/>
        </w:rPr>
      </w:pPr>
      <w:r w:rsidRPr="00786A47">
        <w:rPr>
          <w:rFonts w:ascii="Arial" w:hAnsi="Arial" w:cs="Arial"/>
          <w:i/>
          <w:iCs/>
          <w:sz w:val="22"/>
          <w:szCs w:val="22"/>
          <w:lang w:val="es-MX"/>
        </w:rPr>
        <w:t>Una intervención en el ámbito de la sanidad sólo podrá efectuarse después de que la persona afectada haya dado su libre e inequívoco consentimiento</w:t>
      </w:r>
      <w:r w:rsidRPr="00786A47">
        <w:rPr>
          <w:rFonts w:ascii="Arial" w:hAnsi="Arial" w:cs="Arial"/>
          <w:sz w:val="22"/>
          <w:szCs w:val="22"/>
          <w:lang w:val="es-MX"/>
        </w:rPr>
        <w:t>”</w:t>
      </w:r>
    </w:p>
    <w:p w:rsidR="00786A47" w:rsidRPr="00786A47" w:rsidRDefault="00786A47" w:rsidP="00786A47">
      <w:pPr>
        <w:jc w:val="both"/>
        <w:rPr>
          <w:rFonts w:ascii="Arial" w:hAnsi="Arial" w:cs="Arial"/>
          <w:sz w:val="22"/>
          <w:szCs w:val="22"/>
        </w:rPr>
      </w:pPr>
    </w:p>
    <w:p w:rsidR="00786A47" w:rsidRPr="00786A47" w:rsidRDefault="00786A47" w:rsidP="00786A47">
      <w:pPr>
        <w:jc w:val="both"/>
        <w:rPr>
          <w:rFonts w:ascii="Arial" w:hAnsi="Arial" w:cs="Arial"/>
          <w:b/>
          <w:bCs/>
          <w:sz w:val="22"/>
          <w:szCs w:val="22"/>
          <w:lang w:val="es-MX"/>
        </w:rPr>
      </w:pPr>
      <w:r w:rsidRPr="00786A47">
        <w:rPr>
          <w:rFonts w:ascii="Arial" w:hAnsi="Arial" w:cs="Arial"/>
          <w:b/>
          <w:bCs/>
          <w:sz w:val="22"/>
          <w:szCs w:val="22"/>
          <w:lang w:val="es-MX"/>
        </w:rPr>
        <w:t>ÁMBITO NACIONAL:</w:t>
      </w:r>
    </w:p>
    <w:p w:rsidR="00786A47" w:rsidRPr="00786A47" w:rsidRDefault="00786A47" w:rsidP="00786A47">
      <w:pPr>
        <w:jc w:val="both"/>
        <w:rPr>
          <w:rFonts w:ascii="Arial" w:hAnsi="Arial" w:cs="Arial"/>
          <w:b/>
          <w:bCs/>
          <w:sz w:val="22"/>
          <w:szCs w:val="22"/>
          <w:lang w:val="es-MX"/>
        </w:rPr>
      </w:pPr>
    </w:p>
    <w:p w:rsidR="00786A47" w:rsidRPr="00786A47" w:rsidRDefault="00786A47" w:rsidP="00786A47">
      <w:pPr>
        <w:jc w:val="both"/>
        <w:rPr>
          <w:rFonts w:ascii="Arial" w:hAnsi="Arial" w:cs="Arial"/>
          <w:sz w:val="22"/>
          <w:szCs w:val="22"/>
          <w:lang w:val="es-MX"/>
        </w:rPr>
      </w:pPr>
      <w:r w:rsidRPr="00786A47">
        <w:rPr>
          <w:rFonts w:ascii="Arial" w:hAnsi="Arial" w:cs="Arial"/>
          <w:sz w:val="22"/>
          <w:szCs w:val="22"/>
          <w:lang w:val="es-MX"/>
        </w:rPr>
        <w:t>Colombia no ha sido ajena a la tendencia internacional</w:t>
      </w:r>
      <w:r w:rsidRPr="00786A47">
        <w:rPr>
          <w:rStyle w:val="Refdenotaalpie"/>
          <w:rFonts w:ascii="Arial" w:hAnsi="Arial" w:cs="Arial"/>
          <w:sz w:val="22"/>
          <w:szCs w:val="22"/>
          <w:lang w:val="es-MX"/>
        </w:rPr>
        <w:footnoteReference w:id="9"/>
      </w:r>
      <w:r w:rsidRPr="00786A47">
        <w:rPr>
          <w:rFonts w:ascii="Arial" w:hAnsi="Arial" w:cs="Arial"/>
          <w:sz w:val="22"/>
          <w:szCs w:val="22"/>
          <w:lang w:val="es-MX"/>
        </w:rPr>
        <w:t xml:space="preserve"> y varias normas recogen la obligatoriedad de acudir a conceptos de dignidad humana, respeto del ser humano como integralidad, el mismo concepto del Estado Social y de Derecho, las regulaciones existentes a partir del Ministerio de Salud ha obligado a realizar una revisión permanente en todos estos aspectos.</w:t>
      </w:r>
    </w:p>
    <w:p w:rsidR="00786A47" w:rsidRPr="00786A47" w:rsidRDefault="00786A47" w:rsidP="00786A47">
      <w:pPr>
        <w:jc w:val="both"/>
        <w:rPr>
          <w:rFonts w:ascii="Arial" w:hAnsi="Arial" w:cs="Arial"/>
          <w:sz w:val="22"/>
          <w:szCs w:val="22"/>
          <w:lang w:val="es-MX"/>
        </w:rPr>
      </w:pPr>
    </w:p>
    <w:p w:rsidR="00786A47" w:rsidRPr="00786A47" w:rsidRDefault="00786A47" w:rsidP="00786A47">
      <w:pPr>
        <w:jc w:val="both"/>
        <w:rPr>
          <w:rFonts w:ascii="Arial" w:hAnsi="Arial" w:cs="Arial"/>
          <w:sz w:val="22"/>
          <w:szCs w:val="22"/>
          <w:lang w:val="es-MX"/>
        </w:rPr>
      </w:pPr>
      <w:r w:rsidRPr="00786A47">
        <w:rPr>
          <w:rFonts w:ascii="Arial" w:hAnsi="Arial" w:cs="Arial"/>
          <w:sz w:val="22"/>
          <w:szCs w:val="22"/>
          <w:lang w:val="es-MX"/>
        </w:rPr>
        <w:t>Hemos procurado presentar las normas más pertinentes en la temática que ocupa nuestra atención:</w:t>
      </w:r>
    </w:p>
    <w:p w:rsidR="00786A47" w:rsidRPr="00786A47" w:rsidRDefault="00786A47" w:rsidP="00786A47">
      <w:pPr>
        <w:jc w:val="both"/>
        <w:rPr>
          <w:rFonts w:ascii="Arial" w:hAnsi="Arial" w:cs="Arial"/>
          <w:sz w:val="22"/>
          <w:szCs w:val="22"/>
          <w:lang w:val="es-MX"/>
        </w:rPr>
      </w:pPr>
    </w:p>
    <w:p w:rsidR="00786A47" w:rsidRPr="00786A47" w:rsidRDefault="00786A47" w:rsidP="00786A47">
      <w:pPr>
        <w:pStyle w:val="Ttulo1"/>
        <w:framePr w:hSpace="0" w:wrap="auto" w:vAnchor="margin" w:xAlign="left" w:yAlign="inline"/>
        <w:numPr>
          <w:ilvl w:val="0"/>
          <w:numId w:val="35"/>
        </w:numPr>
        <w:autoSpaceDE/>
        <w:autoSpaceDN/>
        <w:adjustRightInd/>
        <w:jc w:val="both"/>
        <w:rPr>
          <w:b w:val="0"/>
          <w:bCs/>
          <w:color w:val="auto"/>
          <w:sz w:val="22"/>
          <w:szCs w:val="22"/>
        </w:rPr>
      </w:pPr>
      <w:r w:rsidRPr="00786A47">
        <w:rPr>
          <w:b w:val="0"/>
          <w:bCs/>
          <w:color w:val="auto"/>
          <w:sz w:val="22"/>
          <w:szCs w:val="22"/>
        </w:rPr>
        <w:t>CONSTITUCIÓN NACIONAL</w:t>
      </w:r>
    </w:p>
    <w:p w:rsidR="00786A47" w:rsidRPr="00786A47" w:rsidRDefault="00786A47" w:rsidP="00786A47">
      <w:pPr>
        <w:jc w:val="both"/>
        <w:rPr>
          <w:rFonts w:ascii="Arial" w:hAnsi="Arial" w:cs="Arial"/>
          <w:sz w:val="22"/>
          <w:szCs w:val="22"/>
          <w:lang w:val="es-MX"/>
        </w:rPr>
      </w:pPr>
    </w:p>
    <w:p w:rsidR="00786A47" w:rsidRPr="00786A47" w:rsidRDefault="00786A47" w:rsidP="00786A47">
      <w:pPr>
        <w:jc w:val="both"/>
        <w:rPr>
          <w:rFonts w:ascii="Arial" w:hAnsi="Arial" w:cs="Arial"/>
          <w:sz w:val="22"/>
          <w:szCs w:val="22"/>
          <w:lang w:val="es-MX"/>
        </w:rPr>
      </w:pPr>
      <w:r w:rsidRPr="00786A47">
        <w:rPr>
          <w:rFonts w:ascii="Arial" w:hAnsi="Arial" w:cs="Arial"/>
          <w:sz w:val="22"/>
          <w:szCs w:val="22"/>
          <w:lang w:val="es-MX"/>
        </w:rPr>
        <w:t xml:space="preserve">El </w:t>
      </w:r>
      <w:r w:rsidRPr="00786A47">
        <w:rPr>
          <w:rFonts w:ascii="Arial" w:hAnsi="Arial" w:cs="Arial"/>
          <w:b/>
          <w:sz w:val="22"/>
          <w:szCs w:val="22"/>
          <w:u w:val="single"/>
          <w:lang w:val="es-MX"/>
        </w:rPr>
        <w:t>artículo 1°</w:t>
      </w:r>
      <w:r w:rsidRPr="00786A47">
        <w:rPr>
          <w:rFonts w:ascii="Arial" w:hAnsi="Arial" w:cs="Arial"/>
          <w:sz w:val="22"/>
          <w:szCs w:val="22"/>
          <w:lang w:val="es-MX"/>
        </w:rPr>
        <w:t xml:space="preserve"> señala un imperativo categórico para cualquier discusión académica y práctica que amerita revisar continuamente el concepto: “</w:t>
      </w:r>
      <w:r w:rsidRPr="00786A47">
        <w:rPr>
          <w:rFonts w:ascii="Arial" w:hAnsi="Arial" w:cs="Arial"/>
          <w:i/>
          <w:iCs/>
          <w:sz w:val="22"/>
          <w:szCs w:val="22"/>
          <w:lang w:val="es-MX"/>
        </w:rPr>
        <w:t>Colombia es un Estado Social de Derecho</w:t>
      </w:r>
      <w:r w:rsidRPr="00786A47">
        <w:rPr>
          <w:rFonts w:ascii="Arial" w:hAnsi="Arial" w:cs="Arial"/>
          <w:sz w:val="22"/>
          <w:szCs w:val="22"/>
          <w:lang w:val="es-MX"/>
        </w:rPr>
        <w:t>...”. Esta concepción implementada a partir de la Constitución de 1991 nos señala no solamente una apreciación teórica sobre el Estado, sino que conlleva una serie de exigencias prácticas y de política estatal en torno a variados temas de la agenda gubernamental.</w:t>
      </w:r>
    </w:p>
    <w:p w:rsidR="00786A47" w:rsidRPr="00786A47" w:rsidRDefault="00786A47" w:rsidP="00786A47">
      <w:pPr>
        <w:jc w:val="both"/>
        <w:rPr>
          <w:rFonts w:ascii="Arial" w:hAnsi="Arial" w:cs="Arial"/>
          <w:sz w:val="22"/>
          <w:szCs w:val="22"/>
          <w:lang w:val="es-MX"/>
        </w:rPr>
      </w:pPr>
    </w:p>
    <w:p w:rsidR="00786A47" w:rsidRPr="00786A47" w:rsidRDefault="00786A47" w:rsidP="00786A47">
      <w:pPr>
        <w:jc w:val="both"/>
        <w:rPr>
          <w:rFonts w:ascii="Arial" w:eastAsia="Arial Unicode MS" w:hAnsi="Arial" w:cs="Arial"/>
          <w:sz w:val="22"/>
          <w:szCs w:val="22"/>
        </w:rPr>
      </w:pPr>
      <w:r w:rsidRPr="00786A47">
        <w:rPr>
          <w:rFonts w:ascii="Arial" w:eastAsia="Arial Unicode MS" w:hAnsi="Arial" w:cs="Arial"/>
          <w:sz w:val="22"/>
          <w:szCs w:val="22"/>
        </w:rPr>
        <w:t>En el mismo terreno constitucional, dentro de la teoría del consentimiento informado, se obliga a la existencia de dicha información para expresar dicho consentimiento en la realización de tratamiento médicos e intervenciones quirúrgicas a esta se refieren entre otros, el artículo 1 del que hacemos referencia,  cuando habla de la dignidad humana; el 15 que retoma el tema de la intimidad, el 16 que se refiere al libre desarrollo de la personalidad; el 18 y 19 atinente a la libertad de conciencia de convicciones y creencias religiosas; el artículo 20 que esboza la garantía de recibir información veraz e imparcial y el artículo 44 que se dirige a los derechos fundamentales de los niños. Los cuales sin duda generan un ámbito normativo favorable para la reivindicación de los derechos del paciente y por supuesto, de las personas que son sujetos de investigaciones científicas.</w:t>
      </w:r>
    </w:p>
    <w:p w:rsidR="00786A47" w:rsidRPr="00786A47" w:rsidRDefault="00786A47" w:rsidP="00786A47">
      <w:pPr>
        <w:ind w:right="618"/>
        <w:jc w:val="both"/>
        <w:rPr>
          <w:rFonts w:ascii="Arial" w:eastAsia="Arial Unicode MS" w:hAnsi="Arial" w:cs="Arial"/>
          <w:sz w:val="22"/>
          <w:szCs w:val="22"/>
        </w:rPr>
      </w:pPr>
    </w:p>
    <w:p w:rsidR="00786A47" w:rsidRPr="00786A47" w:rsidRDefault="00786A47" w:rsidP="00786A47">
      <w:pPr>
        <w:autoSpaceDE w:val="0"/>
        <w:autoSpaceDN w:val="0"/>
        <w:adjustRightInd w:val="0"/>
        <w:jc w:val="both"/>
        <w:rPr>
          <w:rFonts w:ascii="Arial" w:eastAsia="Arial Unicode MS" w:hAnsi="Arial" w:cs="Arial"/>
          <w:sz w:val="22"/>
          <w:szCs w:val="22"/>
        </w:rPr>
      </w:pPr>
      <w:r w:rsidRPr="00786A47">
        <w:rPr>
          <w:rFonts w:ascii="Arial" w:eastAsia="Arial Unicode MS" w:hAnsi="Arial" w:cs="Arial"/>
          <w:sz w:val="22"/>
          <w:szCs w:val="22"/>
        </w:rPr>
        <w:lastRenderedPageBreak/>
        <w:t>Debe advertirse que la Corte Constitucional, ha sostenido intensos debates y logrado adelantos significativos en varios de los fallos – especialmente en tutelas, como la T-559 de 1995, donde se señala que “</w:t>
      </w:r>
      <w:r w:rsidRPr="00786A47">
        <w:rPr>
          <w:rFonts w:ascii="Arial" w:eastAsia="Arial Unicode MS" w:hAnsi="Arial" w:cs="Arial"/>
          <w:i/>
          <w:sz w:val="22"/>
          <w:szCs w:val="22"/>
        </w:rPr>
        <w:t xml:space="preserve">debe existir previo consentimiento del paciente para al tratamiento que se le señale. El Juez de tutela no puede suplir ese consentimiento, ni tomar partido a favor o en contra de una tesis médica, es el propio galeno quien, conjuntamente con el paciente, determinarán el camino a seguir. No le corresponde al juez de tutela indicar que haya cambio de médico, salvo que el no cambio signifique vulneración de un derecho fundamental”, la T-151 de 1996 donde a partir de los temas legales atientes a la relación médico paciente y el secreto médico se concluye que </w:t>
      </w:r>
      <w:r w:rsidRPr="00786A47">
        <w:rPr>
          <w:rFonts w:ascii="Arial" w:eastAsia="Arial Unicode MS" w:hAnsi="Arial" w:cs="Arial"/>
          <w:i/>
          <w:iCs/>
          <w:sz w:val="22"/>
          <w:szCs w:val="22"/>
        </w:rPr>
        <w:t xml:space="preserve">es innegable el interés del paciente en cuanto al tratamiento que se le sigue, goza del derecho a conocer en qué consiste, cuáles son los nombres, ya sea científicos o comerciales, de las sustancias que debe consumir o aplicarse en ejecución de la orden médica y </w:t>
      </w:r>
      <w:r w:rsidRPr="00786A47">
        <w:rPr>
          <w:rFonts w:ascii="Arial" w:eastAsia="Arial Unicode MS" w:hAnsi="Arial" w:cs="Arial"/>
          <w:i/>
          <w:sz w:val="22"/>
          <w:szCs w:val="22"/>
        </w:rPr>
        <w:t>T-1390 de 2000, cuyo desarrollo se centró en la reiteración de la doctrina constitucional sobre el consentimiento informado en casos de ambigüedad genital o “hermafroditismo</w:t>
      </w:r>
      <w:r w:rsidRPr="00786A47">
        <w:rPr>
          <w:rFonts w:ascii="Arial" w:eastAsia="Arial Unicode MS" w:hAnsi="Arial" w:cs="Arial"/>
          <w:sz w:val="22"/>
          <w:szCs w:val="22"/>
        </w:rPr>
        <w:t>”.</w:t>
      </w:r>
      <w:r w:rsidRPr="00786A47">
        <w:rPr>
          <w:rStyle w:val="Refdenotaalpie"/>
          <w:rFonts w:ascii="Arial" w:eastAsia="Arial Unicode MS" w:hAnsi="Arial" w:cs="Arial"/>
          <w:sz w:val="22"/>
          <w:szCs w:val="22"/>
        </w:rPr>
        <w:footnoteReference w:id="10"/>
      </w:r>
      <w:r w:rsidRPr="00786A47">
        <w:rPr>
          <w:rFonts w:ascii="Arial" w:eastAsia="Arial Unicode MS" w:hAnsi="Arial" w:cs="Arial"/>
          <w:sz w:val="22"/>
          <w:szCs w:val="22"/>
        </w:rPr>
        <w:t xml:space="preserve"> </w:t>
      </w:r>
    </w:p>
    <w:p w:rsidR="00786A47" w:rsidRPr="00786A47" w:rsidRDefault="00786A47" w:rsidP="00786A47">
      <w:pPr>
        <w:jc w:val="both"/>
        <w:rPr>
          <w:rFonts w:ascii="Arial" w:eastAsia="Arial Unicode MS" w:hAnsi="Arial" w:cs="Arial"/>
          <w:sz w:val="22"/>
          <w:szCs w:val="22"/>
        </w:rPr>
      </w:pPr>
    </w:p>
    <w:p w:rsidR="00786A47" w:rsidRPr="00786A47" w:rsidRDefault="00786A47" w:rsidP="00786A47">
      <w:pPr>
        <w:jc w:val="both"/>
        <w:rPr>
          <w:rFonts w:ascii="Arial" w:eastAsia="Arial Unicode MS" w:hAnsi="Arial" w:cs="Arial"/>
          <w:sz w:val="22"/>
          <w:szCs w:val="22"/>
        </w:rPr>
      </w:pPr>
      <w:r w:rsidRPr="00786A47">
        <w:rPr>
          <w:rFonts w:ascii="Arial" w:eastAsia="Arial Unicode MS" w:hAnsi="Arial" w:cs="Arial"/>
          <w:sz w:val="22"/>
          <w:szCs w:val="22"/>
        </w:rPr>
        <w:t>De igual manera, esta misma corte ha sacado a relucir el tema en sentencias como la C-269/95 y la C-264/96, en las cuales sin duda se pueden observar una línea jurisprudencial dirigida al tema.</w:t>
      </w:r>
    </w:p>
    <w:p w:rsidR="00786A47" w:rsidRPr="00786A47" w:rsidRDefault="00786A47" w:rsidP="00786A47">
      <w:pPr>
        <w:jc w:val="both"/>
        <w:rPr>
          <w:rFonts w:ascii="Arial" w:hAnsi="Arial" w:cs="Arial"/>
          <w:sz w:val="22"/>
          <w:szCs w:val="22"/>
        </w:rPr>
      </w:pPr>
    </w:p>
    <w:p w:rsidR="00786A47" w:rsidRPr="00786A47" w:rsidRDefault="00786A47" w:rsidP="00786A47">
      <w:pPr>
        <w:jc w:val="both"/>
        <w:rPr>
          <w:rFonts w:ascii="Arial" w:hAnsi="Arial" w:cs="Arial"/>
          <w:sz w:val="22"/>
          <w:szCs w:val="22"/>
          <w:lang w:val="es-MX"/>
        </w:rPr>
      </w:pPr>
      <w:r w:rsidRPr="00786A47">
        <w:rPr>
          <w:rFonts w:ascii="Arial" w:hAnsi="Arial" w:cs="Arial"/>
          <w:sz w:val="22"/>
          <w:szCs w:val="22"/>
          <w:lang w:val="es-MX"/>
        </w:rPr>
        <w:t>De igual manera, se ha traído una nueva figura que permite aplicar sin restricción alguna, normas que no pertenecen al texto de la Carta Magna, sino que pertenecen a normas internacionales. Es el denominado BLOQUE DE CONSTITUCIONALIDAD</w:t>
      </w:r>
      <w:r w:rsidRPr="00786A47">
        <w:rPr>
          <w:rStyle w:val="Refdenotaalpie"/>
          <w:rFonts w:ascii="Arial" w:hAnsi="Arial" w:cs="Arial"/>
          <w:sz w:val="22"/>
          <w:szCs w:val="22"/>
          <w:lang w:val="es-MX"/>
        </w:rPr>
        <w:footnoteReference w:id="11"/>
      </w:r>
      <w:r w:rsidRPr="00786A47">
        <w:rPr>
          <w:rFonts w:ascii="Arial" w:hAnsi="Arial" w:cs="Arial"/>
          <w:sz w:val="22"/>
          <w:szCs w:val="22"/>
          <w:lang w:val="es-MX"/>
        </w:rPr>
        <w:t>.</w:t>
      </w:r>
    </w:p>
    <w:p w:rsidR="00786A47" w:rsidRPr="00786A47" w:rsidRDefault="00786A47" w:rsidP="00786A47">
      <w:pPr>
        <w:jc w:val="both"/>
        <w:rPr>
          <w:rFonts w:ascii="Arial" w:hAnsi="Arial" w:cs="Arial"/>
          <w:sz w:val="22"/>
          <w:szCs w:val="22"/>
          <w:lang w:val="es-MX"/>
        </w:rPr>
      </w:pPr>
    </w:p>
    <w:p w:rsidR="00786A47" w:rsidRPr="00786A47" w:rsidRDefault="00786A47" w:rsidP="00786A47">
      <w:pPr>
        <w:jc w:val="both"/>
        <w:rPr>
          <w:rFonts w:ascii="Arial" w:hAnsi="Arial" w:cs="Arial"/>
          <w:sz w:val="22"/>
          <w:szCs w:val="22"/>
          <w:lang w:val="es-MX"/>
        </w:rPr>
      </w:pPr>
      <w:r w:rsidRPr="00786A47">
        <w:rPr>
          <w:rFonts w:ascii="Arial" w:hAnsi="Arial" w:cs="Arial"/>
          <w:sz w:val="22"/>
          <w:szCs w:val="22"/>
          <w:lang w:val="es-MX"/>
        </w:rPr>
        <w:t>Dicho concepto se regula en el artículo que a continuación presentamos:</w:t>
      </w:r>
    </w:p>
    <w:p w:rsidR="00786A47" w:rsidRPr="00786A47" w:rsidRDefault="00786A47" w:rsidP="00786A47">
      <w:pPr>
        <w:jc w:val="both"/>
        <w:rPr>
          <w:rFonts w:ascii="Arial" w:hAnsi="Arial" w:cs="Arial"/>
          <w:sz w:val="22"/>
          <w:szCs w:val="22"/>
          <w:lang w:val="es-MX"/>
        </w:rPr>
      </w:pPr>
    </w:p>
    <w:p w:rsidR="00786A47" w:rsidRPr="00786A47" w:rsidRDefault="00786A47" w:rsidP="00786A47">
      <w:pPr>
        <w:jc w:val="both"/>
        <w:rPr>
          <w:rFonts w:ascii="Arial" w:hAnsi="Arial" w:cs="Arial"/>
          <w:sz w:val="22"/>
          <w:szCs w:val="22"/>
          <w:lang w:val="es-MX"/>
        </w:rPr>
      </w:pPr>
      <w:r w:rsidRPr="00786A47">
        <w:rPr>
          <w:rFonts w:ascii="Arial" w:hAnsi="Arial" w:cs="Arial"/>
          <w:sz w:val="22"/>
          <w:szCs w:val="22"/>
          <w:lang w:val="es-MX"/>
        </w:rPr>
        <w:lastRenderedPageBreak/>
        <w:t xml:space="preserve">Artículo 93: </w:t>
      </w:r>
    </w:p>
    <w:p w:rsidR="00786A47" w:rsidRPr="00786A47" w:rsidRDefault="00786A47" w:rsidP="00786A47">
      <w:pPr>
        <w:jc w:val="both"/>
        <w:rPr>
          <w:rFonts w:ascii="Arial" w:hAnsi="Arial" w:cs="Arial"/>
          <w:sz w:val="22"/>
          <w:szCs w:val="22"/>
          <w:lang w:val="es-MX"/>
        </w:rPr>
      </w:pPr>
    </w:p>
    <w:p w:rsidR="00786A47" w:rsidRPr="00786A47" w:rsidRDefault="00786A47" w:rsidP="00786A47">
      <w:pPr>
        <w:ind w:left="708"/>
        <w:jc w:val="both"/>
        <w:rPr>
          <w:rFonts w:ascii="Arial" w:hAnsi="Arial" w:cs="Arial"/>
          <w:sz w:val="22"/>
          <w:szCs w:val="22"/>
        </w:rPr>
      </w:pPr>
      <w:r w:rsidRPr="00786A47">
        <w:rPr>
          <w:rFonts w:ascii="Arial" w:hAnsi="Arial" w:cs="Arial"/>
          <w:sz w:val="22"/>
          <w:szCs w:val="22"/>
          <w:lang w:val="es-MX"/>
        </w:rPr>
        <w:t>“</w:t>
      </w:r>
      <w:r w:rsidRPr="00786A47">
        <w:rPr>
          <w:rFonts w:ascii="Arial" w:hAnsi="Arial" w:cs="Arial"/>
          <w:i/>
          <w:iCs/>
          <w:sz w:val="22"/>
          <w:szCs w:val="22"/>
          <w:lang w:val="es-MX"/>
        </w:rPr>
        <w:t>Los tratados y convenios internacionales ratificados por el Congreso, que reconocen los derechos humanos y que prohíben su limitación en los estados de excepción, prevalecen en el orden interno</w:t>
      </w:r>
      <w:r w:rsidRPr="00786A47">
        <w:rPr>
          <w:rFonts w:ascii="Arial" w:hAnsi="Arial" w:cs="Arial"/>
          <w:sz w:val="22"/>
          <w:szCs w:val="22"/>
          <w:lang w:val="es-MX"/>
        </w:rPr>
        <w:t>...”</w:t>
      </w:r>
    </w:p>
    <w:p w:rsidR="00786A47" w:rsidRPr="00786A47" w:rsidRDefault="00786A47" w:rsidP="00786A47">
      <w:pPr>
        <w:pStyle w:val="Textoindependiente2"/>
        <w:jc w:val="both"/>
        <w:rPr>
          <w:rFonts w:ascii="Arial" w:hAnsi="Arial" w:cs="Arial"/>
          <w:b w:val="0"/>
          <w:bCs/>
          <w:szCs w:val="22"/>
        </w:rPr>
      </w:pPr>
      <w:r w:rsidRPr="00786A47">
        <w:rPr>
          <w:rFonts w:ascii="Arial" w:hAnsi="Arial" w:cs="Arial"/>
          <w:b w:val="0"/>
          <w:bCs/>
          <w:szCs w:val="22"/>
        </w:rPr>
        <w:t xml:space="preserve">Para una mayor comprensión del tema y su incidencia en las actividades y obligaciones para el Estado, podemos encontrarla en pronunciamiento de nuestra Corte Constitucional. Podemos </w:t>
      </w:r>
      <w:r w:rsidR="00985B3B" w:rsidRPr="00786A47">
        <w:rPr>
          <w:rFonts w:ascii="Arial" w:hAnsi="Arial" w:cs="Arial"/>
          <w:b w:val="0"/>
          <w:bCs/>
          <w:szCs w:val="22"/>
        </w:rPr>
        <w:t>citar,</w:t>
      </w:r>
      <w:r w:rsidRPr="00786A47">
        <w:rPr>
          <w:rFonts w:ascii="Arial" w:hAnsi="Arial" w:cs="Arial"/>
          <w:b w:val="0"/>
          <w:bCs/>
          <w:szCs w:val="22"/>
        </w:rPr>
        <w:t xml:space="preserve"> por ejemplo:</w:t>
      </w:r>
    </w:p>
    <w:p w:rsidR="00786A47" w:rsidRPr="00786A47" w:rsidRDefault="00786A47" w:rsidP="00786A47">
      <w:pPr>
        <w:pStyle w:val="Textoindependiente2"/>
        <w:jc w:val="both"/>
        <w:rPr>
          <w:rFonts w:ascii="Arial" w:hAnsi="Arial" w:cs="Arial"/>
          <w:b w:val="0"/>
          <w:bCs/>
          <w:szCs w:val="22"/>
        </w:rPr>
      </w:pPr>
    </w:p>
    <w:p w:rsidR="00786A47" w:rsidRPr="00786A47" w:rsidRDefault="00786A47" w:rsidP="00786A47">
      <w:pPr>
        <w:pStyle w:val="Textoindependiente2"/>
        <w:jc w:val="both"/>
        <w:rPr>
          <w:rFonts w:ascii="Arial" w:hAnsi="Arial" w:cs="Arial"/>
          <w:szCs w:val="22"/>
        </w:rPr>
      </w:pPr>
      <w:r w:rsidRPr="00786A47">
        <w:rPr>
          <w:rFonts w:ascii="Arial" w:hAnsi="Arial" w:cs="Arial"/>
          <w:szCs w:val="22"/>
        </w:rPr>
        <w:t>ESTADO DE DERECHO LIBERAL Y ESTADO SOCIAL DE DERECHO-Distinciones</w:t>
      </w:r>
    </w:p>
    <w:p w:rsidR="00786A47" w:rsidRPr="00786A47" w:rsidRDefault="00786A47" w:rsidP="00786A47">
      <w:pPr>
        <w:jc w:val="both"/>
        <w:rPr>
          <w:rFonts w:ascii="Arial" w:eastAsia="Arial Unicode MS" w:hAnsi="Arial" w:cs="Arial"/>
          <w:sz w:val="22"/>
          <w:szCs w:val="22"/>
          <w:lang w:val="es-MX"/>
        </w:rPr>
      </w:pPr>
    </w:p>
    <w:p w:rsidR="00786A47" w:rsidRPr="00786A47" w:rsidRDefault="00786A47" w:rsidP="00786A47">
      <w:pPr>
        <w:ind w:left="708"/>
        <w:jc w:val="both"/>
        <w:rPr>
          <w:rFonts w:ascii="Arial" w:hAnsi="Arial" w:cs="Arial"/>
          <w:sz w:val="22"/>
          <w:szCs w:val="22"/>
          <w:lang w:val="es-ES_tradnl"/>
        </w:rPr>
      </w:pPr>
      <w:r w:rsidRPr="00786A47">
        <w:rPr>
          <w:rFonts w:ascii="Arial" w:hAnsi="Arial" w:cs="Arial"/>
          <w:sz w:val="22"/>
          <w:szCs w:val="22"/>
          <w:lang w:val="es-ES_tradnl"/>
        </w:rPr>
        <w:t> “</w:t>
      </w:r>
      <w:r w:rsidRPr="00786A47">
        <w:rPr>
          <w:rFonts w:ascii="Arial" w:hAnsi="Arial" w:cs="Arial"/>
          <w:i/>
          <w:iCs/>
          <w:sz w:val="22"/>
          <w:szCs w:val="22"/>
          <w:lang w:val="es-ES_tradnl"/>
        </w:rPr>
        <w:t xml:space="preserve">Como bien ha señalado esta Corporación, el Estado de derecho liberal y el </w:t>
      </w:r>
      <w:r w:rsidRPr="00786A47">
        <w:rPr>
          <w:rFonts w:ascii="Arial" w:hAnsi="Arial" w:cs="Arial"/>
          <w:i/>
          <w:iCs/>
          <w:sz w:val="22"/>
          <w:szCs w:val="22"/>
          <w:u w:val="single"/>
          <w:lang w:val="es-ES_tradnl"/>
        </w:rPr>
        <w:t>Estado social de derecho</w:t>
      </w:r>
      <w:r w:rsidRPr="00786A47">
        <w:rPr>
          <w:rFonts w:ascii="Arial" w:hAnsi="Arial" w:cs="Arial"/>
          <w:i/>
          <w:iCs/>
          <w:sz w:val="22"/>
          <w:szCs w:val="22"/>
          <w:lang w:val="es-ES_tradnl"/>
        </w:rPr>
        <w:t xml:space="preserve"> se diferencian en la relación que construyen entre el Estado y los asociados: así, mientras que el primero busca ante todo limitar el poder, de tal manera que no pueda amenazar los derechos y libertades de los ciudadanos, el segundo acoge esa limitación del poder, pero también precisa que el Estado debe cumplir con unos fines en la sociedad, lo cual implica que intervenga en ella. La Constitución dentro de este último modelo de Estado representa un cuerpo armónico de valores - acerca de cómo debe configurarse la comunidad social y política -, que debe encontrar su aplicación práctica, y ello produce tanto deberes para el Estado como para los asociados</w:t>
      </w:r>
      <w:r w:rsidRPr="00786A47">
        <w:rPr>
          <w:rFonts w:ascii="Arial" w:hAnsi="Arial" w:cs="Arial"/>
          <w:sz w:val="22"/>
          <w:szCs w:val="22"/>
          <w:lang w:val="es-ES_tradnl"/>
        </w:rPr>
        <w:t>”. (Sentencia de unificación 747 – 1998 Corte Constitucional)</w:t>
      </w:r>
    </w:p>
    <w:p w:rsidR="00786A47" w:rsidRPr="00786A47" w:rsidRDefault="00786A47" w:rsidP="00786A47">
      <w:pPr>
        <w:jc w:val="both"/>
        <w:rPr>
          <w:rFonts w:ascii="Arial" w:eastAsia="Arial Unicode MS" w:hAnsi="Arial" w:cs="Arial"/>
          <w:sz w:val="22"/>
          <w:szCs w:val="22"/>
        </w:rPr>
      </w:pPr>
    </w:p>
    <w:p w:rsidR="00786A47" w:rsidRPr="00786A47" w:rsidRDefault="00786A47" w:rsidP="00786A47">
      <w:pPr>
        <w:pStyle w:val="Textoindependiente"/>
        <w:jc w:val="both"/>
        <w:rPr>
          <w:sz w:val="22"/>
          <w:szCs w:val="22"/>
        </w:rPr>
      </w:pPr>
      <w:r w:rsidRPr="00786A47">
        <w:rPr>
          <w:sz w:val="22"/>
          <w:szCs w:val="22"/>
        </w:rPr>
        <w:t>De otro lado ha expresado la Corte:</w:t>
      </w:r>
    </w:p>
    <w:p w:rsidR="00786A47" w:rsidRPr="00786A47" w:rsidRDefault="00786A47" w:rsidP="00786A47">
      <w:pPr>
        <w:pStyle w:val="Textoindependiente"/>
        <w:jc w:val="both"/>
        <w:rPr>
          <w:sz w:val="22"/>
          <w:szCs w:val="22"/>
        </w:rPr>
      </w:pPr>
    </w:p>
    <w:p w:rsidR="00786A47" w:rsidRPr="00786A47" w:rsidRDefault="00786A47" w:rsidP="00786A47">
      <w:pPr>
        <w:pStyle w:val="Ttulo2"/>
        <w:jc w:val="both"/>
        <w:rPr>
          <w:b w:val="0"/>
          <w:bCs/>
          <w:color w:val="auto"/>
          <w:szCs w:val="22"/>
        </w:rPr>
      </w:pPr>
      <w:r w:rsidRPr="00786A47">
        <w:rPr>
          <w:b w:val="0"/>
          <w:bCs/>
          <w:color w:val="auto"/>
          <w:szCs w:val="22"/>
        </w:rPr>
        <w:t>ESTADO SOCIAL-Objeto</w:t>
      </w:r>
    </w:p>
    <w:p w:rsidR="00786A47" w:rsidRPr="00786A47" w:rsidRDefault="00786A47" w:rsidP="00786A47">
      <w:pPr>
        <w:jc w:val="both"/>
        <w:rPr>
          <w:rFonts w:ascii="Arial" w:eastAsia="Arial Unicode MS" w:hAnsi="Arial" w:cs="Arial"/>
          <w:sz w:val="22"/>
          <w:szCs w:val="22"/>
        </w:rPr>
      </w:pPr>
    </w:p>
    <w:p w:rsidR="00786A47" w:rsidRPr="00786A47" w:rsidRDefault="00786A47" w:rsidP="00786A47">
      <w:pPr>
        <w:ind w:left="708"/>
        <w:jc w:val="both"/>
        <w:rPr>
          <w:rFonts w:ascii="Arial" w:hAnsi="Arial" w:cs="Arial"/>
          <w:sz w:val="22"/>
          <w:szCs w:val="22"/>
          <w:lang w:val="es-ES_tradnl"/>
        </w:rPr>
      </w:pPr>
      <w:r w:rsidRPr="00786A47">
        <w:rPr>
          <w:rFonts w:ascii="Arial" w:hAnsi="Arial" w:cs="Arial"/>
          <w:i/>
          <w:iCs/>
          <w:sz w:val="22"/>
          <w:szCs w:val="22"/>
          <w:lang w:val="es-ES_tradnl"/>
        </w:rPr>
        <w:t xml:space="preserve">“Con el término social se señala que la acción del Estado debe dirigirse a garantizarle a los asociados condiciones de vida dignas. Es decir, con este concepto se resalta que la voluntad del Constituyente en torno al Estado no se reduce a exigir de éste que no interfiera o recorte las libertades de las personas, sino que también exige que el mismo se ponga en movimiento para contrarrestar las desigualdades sociales existentes y para ofrecerle a </w:t>
      </w:r>
      <w:r w:rsidR="00985B3B" w:rsidRPr="00786A47">
        <w:rPr>
          <w:rFonts w:ascii="Arial" w:hAnsi="Arial" w:cs="Arial"/>
          <w:i/>
          <w:iCs/>
          <w:sz w:val="22"/>
          <w:szCs w:val="22"/>
          <w:lang w:val="es-ES_tradnl"/>
        </w:rPr>
        <w:t>todas las oportunidades necesarias</w:t>
      </w:r>
      <w:r w:rsidRPr="00786A47">
        <w:rPr>
          <w:rFonts w:ascii="Arial" w:hAnsi="Arial" w:cs="Arial"/>
          <w:i/>
          <w:iCs/>
          <w:sz w:val="22"/>
          <w:szCs w:val="22"/>
          <w:lang w:val="es-ES_tradnl"/>
        </w:rPr>
        <w:t xml:space="preserve"> para desarrollar sus aptitudes y para superar los apremios materiales”</w:t>
      </w:r>
      <w:r w:rsidRPr="00786A47">
        <w:rPr>
          <w:rFonts w:ascii="Arial" w:hAnsi="Arial" w:cs="Arial"/>
          <w:sz w:val="22"/>
          <w:szCs w:val="22"/>
          <w:lang w:val="es-ES_tradnl"/>
        </w:rPr>
        <w:t> (Sentencia de unificación 747 – 1998 Corte Constitucional).</w:t>
      </w:r>
    </w:p>
    <w:p w:rsidR="00786A47" w:rsidRPr="00786A47" w:rsidRDefault="00786A47" w:rsidP="00786A47">
      <w:pPr>
        <w:pStyle w:val="Ttulo3"/>
        <w:numPr>
          <w:ilvl w:val="0"/>
          <w:numId w:val="35"/>
        </w:numPr>
        <w:jc w:val="both"/>
        <w:rPr>
          <w:color w:val="auto"/>
          <w:sz w:val="22"/>
          <w:szCs w:val="22"/>
        </w:rPr>
      </w:pPr>
      <w:r w:rsidRPr="00786A47">
        <w:rPr>
          <w:color w:val="auto"/>
          <w:sz w:val="22"/>
          <w:szCs w:val="22"/>
        </w:rPr>
        <w:t>CODIGO CIVIL COLOMBIANO</w:t>
      </w:r>
    </w:p>
    <w:p w:rsidR="00786A47" w:rsidRPr="00786A47" w:rsidRDefault="00786A47" w:rsidP="00786A47">
      <w:pPr>
        <w:jc w:val="both"/>
        <w:rPr>
          <w:rFonts w:ascii="Arial" w:hAnsi="Arial" w:cs="Arial"/>
          <w:sz w:val="22"/>
          <w:szCs w:val="22"/>
          <w:lang w:val="es-ES_tradnl"/>
        </w:rPr>
      </w:pPr>
    </w:p>
    <w:p w:rsidR="00786A47" w:rsidRPr="00786A47" w:rsidRDefault="00786A47" w:rsidP="00786A47">
      <w:pPr>
        <w:jc w:val="both"/>
        <w:rPr>
          <w:rFonts w:ascii="Arial" w:hAnsi="Arial" w:cs="Arial"/>
          <w:sz w:val="22"/>
          <w:szCs w:val="22"/>
          <w:lang w:val="es-ES_tradnl"/>
        </w:rPr>
      </w:pPr>
      <w:r w:rsidRPr="00786A47">
        <w:rPr>
          <w:rFonts w:ascii="Arial" w:hAnsi="Arial" w:cs="Arial"/>
          <w:sz w:val="22"/>
          <w:szCs w:val="22"/>
          <w:lang w:val="es-ES_tradnl"/>
        </w:rPr>
        <w:t xml:space="preserve">Dado que en el tema de las obligaciones adquiridas en el marco de los actos médicos y en las investigaciones, se deben acudir frecuentemente a normas del derecho civil que regulen la voluntad de los participantes, los contratos y demás aspectos importantes en este entorno, </w:t>
      </w:r>
      <w:r w:rsidR="00985B3B" w:rsidRPr="00786A47">
        <w:rPr>
          <w:rFonts w:ascii="Arial" w:hAnsi="Arial" w:cs="Arial"/>
          <w:sz w:val="22"/>
          <w:szCs w:val="22"/>
          <w:lang w:val="es-ES_tradnl"/>
        </w:rPr>
        <w:t>vale la</w:t>
      </w:r>
      <w:r w:rsidRPr="00786A47">
        <w:rPr>
          <w:rFonts w:ascii="Arial" w:hAnsi="Arial" w:cs="Arial"/>
          <w:sz w:val="22"/>
          <w:szCs w:val="22"/>
          <w:lang w:val="es-ES_tradnl"/>
        </w:rPr>
        <w:t xml:space="preserve"> pena referenciar las normas más relevantes sobre este punto.</w:t>
      </w:r>
    </w:p>
    <w:p w:rsidR="00786A47" w:rsidRPr="00786A47" w:rsidRDefault="00786A47" w:rsidP="00786A47">
      <w:pPr>
        <w:jc w:val="both"/>
        <w:rPr>
          <w:rFonts w:ascii="Arial" w:hAnsi="Arial" w:cs="Arial"/>
          <w:sz w:val="22"/>
          <w:szCs w:val="22"/>
          <w:lang w:val="es-ES_tradnl"/>
        </w:rPr>
      </w:pPr>
    </w:p>
    <w:p w:rsidR="00786A47" w:rsidRPr="00786A47" w:rsidRDefault="00786A47" w:rsidP="00786A47">
      <w:pPr>
        <w:jc w:val="both"/>
        <w:rPr>
          <w:rFonts w:ascii="Arial" w:hAnsi="Arial" w:cs="Arial"/>
          <w:i/>
          <w:sz w:val="22"/>
          <w:szCs w:val="22"/>
        </w:rPr>
      </w:pPr>
      <w:bookmarkStart w:id="2" w:name="1494"/>
      <w:bookmarkEnd w:id="2"/>
      <w:r w:rsidRPr="00786A47">
        <w:rPr>
          <w:rStyle w:val="textonavy1"/>
          <w:rFonts w:ascii="Arial" w:hAnsi="Arial" w:cs="Arial"/>
          <w:b/>
          <w:i/>
          <w:color w:val="auto"/>
          <w:sz w:val="22"/>
          <w:szCs w:val="22"/>
        </w:rPr>
        <w:t>Artículo 1494</w:t>
      </w:r>
      <w:r w:rsidRPr="00786A47">
        <w:rPr>
          <w:rStyle w:val="textonavy1"/>
          <w:rFonts w:ascii="Arial" w:hAnsi="Arial" w:cs="Arial"/>
          <w:i/>
          <w:color w:val="auto"/>
          <w:sz w:val="22"/>
          <w:szCs w:val="22"/>
        </w:rPr>
        <w:t>. Fuente de las obligaciones.</w:t>
      </w:r>
      <w:r w:rsidRPr="00786A47">
        <w:rPr>
          <w:rFonts w:ascii="Arial" w:hAnsi="Arial" w:cs="Arial"/>
          <w:i/>
          <w:sz w:val="22"/>
          <w:szCs w:val="22"/>
        </w:rPr>
        <w:t xml:space="preserve"> Las obligaciones nacen, ya del concurso real de las voluntades de dos o más personas, como en los contratos o convenciones…</w:t>
      </w:r>
      <w:bookmarkStart w:id="3" w:name="1495"/>
      <w:bookmarkEnd w:id="3"/>
    </w:p>
    <w:p w:rsidR="00786A47" w:rsidRPr="00786A47" w:rsidRDefault="00786A47" w:rsidP="00786A47">
      <w:pPr>
        <w:jc w:val="both"/>
        <w:rPr>
          <w:rFonts w:ascii="Arial" w:hAnsi="Arial" w:cs="Arial"/>
          <w:i/>
          <w:sz w:val="22"/>
          <w:szCs w:val="22"/>
        </w:rPr>
      </w:pPr>
    </w:p>
    <w:p w:rsidR="00786A47" w:rsidRPr="00786A47" w:rsidRDefault="00786A47" w:rsidP="00786A47">
      <w:pPr>
        <w:jc w:val="both"/>
        <w:rPr>
          <w:rFonts w:ascii="Arial" w:hAnsi="Arial" w:cs="Arial"/>
          <w:i/>
          <w:sz w:val="22"/>
          <w:szCs w:val="22"/>
        </w:rPr>
      </w:pPr>
      <w:r w:rsidRPr="00786A47">
        <w:rPr>
          <w:rStyle w:val="textonavy1"/>
          <w:rFonts w:ascii="Arial" w:hAnsi="Arial" w:cs="Arial"/>
          <w:b/>
          <w:i/>
          <w:color w:val="auto"/>
          <w:sz w:val="22"/>
          <w:szCs w:val="22"/>
        </w:rPr>
        <w:t>ARTICULO 1495</w:t>
      </w:r>
      <w:r w:rsidRPr="00786A47">
        <w:rPr>
          <w:rStyle w:val="textonavy1"/>
          <w:rFonts w:ascii="Arial" w:hAnsi="Arial" w:cs="Arial"/>
          <w:i/>
          <w:color w:val="auto"/>
          <w:sz w:val="22"/>
          <w:szCs w:val="22"/>
        </w:rPr>
        <w:t>. DEFINICION DE CONTRATO O CONVENCION.</w:t>
      </w:r>
      <w:r w:rsidRPr="00786A47">
        <w:rPr>
          <w:rFonts w:ascii="Arial" w:hAnsi="Arial" w:cs="Arial"/>
          <w:i/>
          <w:sz w:val="22"/>
          <w:szCs w:val="22"/>
        </w:rPr>
        <w:t xml:space="preserve"> Contrato o convención es un acto por el cual una parte se obliga para con otra a dar, hacer o no hacer alguna cosa.  Cada parte puede ser de una o de muchas personas. </w:t>
      </w:r>
    </w:p>
    <w:p w:rsidR="00786A47" w:rsidRPr="00786A47" w:rsidRDefault="00786A47" w:rsidP="00786A47">
      <w:pPr>
        <w:jc w:val="both"/>
        <w:rPr>
          <w:rFonts w:ascii="Arial" w:hAnsi="Arial" w:cs="Arial"/>
          <w:i/>
          <w:sz w:val="22"/>
          <w:szCs w:val="22"/>
        </w:rPr>
      </w:pPr>
      <w:bookmarkStart w:id="4" w:name="1496"/>
      <w:bookmarkStart w:id="5" w:name="1497"/>
      <w:bookmarkStart w:id="6" w:name="1498"/>
      <w:bookmarkStart w:id="7" w:name="1499"/>
      <w:bookmarkStart w:id="8" w:name="1500"/>
      <w:bookmarkStart w:id="9" w:name="1501"/>
      <w:bookmarkStart w:id="10" w:name="Nivel133"/>
      <w:bookmarkStart w:id="11" w:name="1502"/>
      <w:bookmarkEnd w:id="4"/>
      <w:bookmarkEnd w:id="5"/>
      <w:bookmarkEnd w:id="6"/>
      <w:bookmarkEnd w:id="7"/>
      <w:bookmarkEnd w:id="8"/>
      <w:bookmarkEnd w:id="9"/>
      <w:bookmarkEnd w:id="10"/>
      <w:bookmarkEnd w:id="11"/>
      <w:r w:rsidRPr="00786A47">
        <w:rPr>
          <w:rStyle w:val="textonavy1"/>
          <w:rFonts w:ascii="Arial" w:hAnsi="Arial" w:cs="Arial"/>
          <w:b/>
          <w:i/>
          <w:color w:val="auto"/>
          <w:sz w:val="22"/>
          <w:szCs w:val="22"/>
        </w:rPr>
        <w:lastRenderedPageBreak/>
        <w:t>ARTICULO 1502</w:t>
      </w:r>
      <w:r w:rsidRPr="00786A47">
        <w:rPr>
          <w:rStyle w:val="textonavy1"/>
          <w:rFonts w:ascii="Arial" w:hAnsi="Arial" w:cs="Arial"/>
          <w:i/>
          <w:color w:val="auto"/>
          <w:sz w:val="22"/>
          <w:szCs w:val="22"/>
        </w:rPr>
        <w:t>. REQUISITOS PARA OBLIGARSE.</w:t>
      </w:r>
      <w:r w:rsidRPr="00786A47">
        <w:rPr>
          <w:rFonts w:ascii="Arial" w:hAnsi="Arial" w:cs="Arial"/>
          <w:i/>
          <w:sz w:val="22"/>
          <w:szCs w:val="22"/>
        </w:rPr>
        <w:t xml:space="preserve"> Para que una persona se obligue a otra por un acto o declaración de voluntad, es necesario: </w:t>
      </w:r>
    </w:p>
    <w:p w:rsidR="00786A47" w:rsidRPr="00786A47" w:rsidRDefault="00786A47" w:rsidP="00786A47">
      <w:pPr>
        <w:ind w:left="708"/>
        <w:jc w:val="both"/>
        <w:rPr>
          <w:rFonts w:ascii="Arial" w:hAnsi="Arial" w:cs="Arial"/>
          <w:i/>
          <w:sz w:val="22"/>
          <w:szCs w:val="22"/>
        </w:rPr>
      </w:pPr>
    </w:p>
    <w:p w:rsidR="00786A47" w:rsidRPr="00786A47" w:rsidRDefault="00786A47" w:rsidP="00786A47">
      <w:pPr>
        <w:ind w:left="708"/>
        <w:jc w:val="both"/>
        <w:rPr>
          <w:rFonts w:ascii="Arial" w:hAnsi="Arial" w:cs="Arial"/>
          <w:i/>
          <w:sz w:val="22"/>
          <w:szCs w:val="22"/>
        </w:rPr>
      </w:pPr>
      <w:r w:rsidRPr="00786A47">
        <w:rPr>
          <w:rFonts w:ascii="Arial" w:hAnsi="Arial" w:cs="Arial"/>
          <w:i/>
          <w:sz w:val="22"/>
          <w:szCs w:val="22"/>
        </w:rPr>
        <w:t xml:space="preserve">1o.) que sea legalmente capaz. </w:t>
      </w:r>
    </w:p>
    <w:p w:rsidR="00786A47" w:rsidRPr="00786A47" w:rsidRDefault="00786A47" w:rsidP="00786A47">
      <w:pPr>
        <w:ind w:left="708"/>
        <w:jc w:val="both"/>
        <w:rPr>
          <w:rFonts w:ascii="Arial" w:hAnsi="Arial" w:cs="Arial"/>
          <w:i/>
          <w:sz w:val="22"/>
          <w:szCs w:val="22"/>
        </w:rPr>
      </w:pPr>
      <w:r w:rsidRPr="00786A47">
        <w:rPr>
          <w:rFonts w:ascii="Arial" w:hAnsi="Arial" w:cs="Arial"/>
          <w:i/>
          <w:sz w:val="22"/>
          <w:szCs w:val="22"/>
        </w:rPr>
        <w:t xml:space="preserve">2o.) que consienta en dicho acto o declaración y su consentimiento no adolezca de vicio. </w:t>
      </w:r>
    </w:p>
    <w:p w:rsidR="00786A47" w:rsidRPr="00786A47" w:rsidRDefault="00786A47" w:rsidP="00786A47">
      <w:pPr>
        <w:ind w:left="708"/>
        <w:jc w:val="both"/>
        <w:rPr>
          <w:rFonts w:ascii="Arial" w:hAnsi="Arial" w:cs="Arial"/>
          <w:i/>
          <w:sz w:val="22"/>
          <w:szCs w:val="22"/>
        </w:rPr>
      </w:pPr>
      <w:r w:rsidRPr="00786A47">
        <w:rPr>
          <w:rFonts w:ascii="Arial" w:hAnsi="Arial" w:cs="Arial"/>
          <w:i/>
          <w:sz w:val="22"/>
          <w:szCs w:val="22"/>
        </w:rPr>
        <w:t xml:space="preserve">3o.) que recaiga sobre un objeto lícito. </w:t>
      </w:r>
    </w:p>
    <w:p w:rsidR="00786A47" w:rsidRPr="00786A47" w:rsidRDefault="00786A47" w:rsidP="00786A47">
      <w:pPr>
        <w:ind w:left="708"/>
        <w:jc w:val="both"/>
        <w:rPr>
          <w:rFonts w:ascii="Arial" w:hAnsi="Arial" w:cs="Arial"/>
          <w:i/>
          <w:sz w:val="22"/>
          <w:szCs w:val="22"/>
        </w:rPr>
      </w:pPr>
      <w:r w:rsidRPr="00786A47">
        <w:rPr>
          <w:rFonts w:ascii="Arial" w:hAnsi="Arial" w:cs="Arial"/>
          <w:i/>
          <w:sz w:val="22"/>
          <w:szCs w:val="22"/>
        </w:rPr>
        <w:t xml:space="preserve">4o.) que tenga una causa lícita. </w:t>
      </w:r>
    </w:p>
    <w:p w:rsidR="00786A47" w:rsidRPr="00786A47" w:rsidRDefault="00786A47" w:rsidP="00786A47">
      <w:pPr>
        <w:jc w:val="both"/>
        <w:rPr>
          <w:rFonts w:ascii="Arial" w:hAnsi="Arial" w:cs="Arial"/>
          <w:i/>
          <w:sz w:val="22"/>
          <w:szCs w:val="22"/>
        </w:rPr>
      </w:pPr>
    </w:p>
    <w:p w:rsidR="00786A47" w:rsidRPr="00786A47" w:rsidRDefault="00786A47" w:rsidP="00786A47">
      <w:pPr>
        <w:jc w:val="both"/>
        <w:rPr>
          <w:rFonts w:ascii="Arial" w:hAnsi="Arial" w:cs="Arial"/>
          <w:i/>
          <w:sz w:val="22"/>
          <w:szCs w:val="22"/>
        </w:rPr>
      </w:pPr>
      <w:r w:rsidRPr="00786A47">
        <w:rPr>
          <w:rFonts w:ascii="Arial" w:hAnsi="Arial" w:cs="Arial"/>
          <w:i/>
          <w:sz w:val="22"/>
          <w:szCs w:val="22"/>
        </w:rPr>
        <w:t xml:space="preserve">La capacidad legal de una persona consiste en poderse obligar por sí misma, sin el ministerio o la autorización de otra. </w:t>
      </w:r>
    </w:p>
    <w:p w:rsidR="00786A47" w:rsidRPr="00786A47" w:rsidRDefault="00786A47" w:rsidP="00786A47">
      <w:pPr>
        <w:jc w:val="both"/>
        <w:rPr>
          <w:rStyle w:val="textonavy1"/>
          <w:rFonts w:ascii="Arial" w:hAnsi="Arial" w:cs="Arial"/>
          <w:b/>
          <w:i/>
          <w:color w:val="auto"/>
          <w:sz w:val="22"/>
          <w:szCs w:val="22"/>
        </w:rPr>
      </w:pPr>
      <w:bookmarkStart w:id="12" w:name="1503"/>
      <w:bookmarkEnd w:id="12"/>
    </w:p>
    <w:p w:rsidR="00786A47" w:rsidRPr="00786A47" w:rsidRDefault="00786A47" w:rsidP="00786A47">
      <w:pPr>
        <w:jc w:val="both"/>
        <w:rPr>
          <w:rFonts w:ascii="Arial" w:hAnsi="Arial" w:cs="Arial"/>
          <w:i/>
          <w:sz w:val="22"/>
          <w:szCs w:val="22"/>
        </w:rPr>
      </w:pPr>
      <w:r w:rsidRPr="00786A47">
        <w:rPr>
          <w:rStyle w:val="textonavy1"/>
          <w:rFonts w:ascii="Arial" w:hAnsi="Arial" w:cs="Arial"/>
          <w:b/>
          <w:i/>
          <w:color w:val="auto"/>
          <w:sz w:val="22"/>
          <w:szCs w:val="22"/>
        </w:rPr>
        <w:t>ARTICULO 1503</w:t>
      </w:r>
      <w:r w:rsidRPr="00786A47">
        <w:rPr>
          <w:rStyle w:val="textonavy1"/>
          <w:rFonts w:ascii="Arial" w:hAnsi="Arial" w:cs="Arial"/>
          <w:i/>
          <w:color w:val="auto"/>
          <w:sz w:val="22"/>
          <w:szCs w:val="22"/>
        </w:rPr>
        <w:t>. PRESUNCION DE CAPACIDAD.</w:t>
      </w:r>
      <w:r w:rsidRPr="00786A47">
        <w:rPr>
          <w:rFonts w:ascii="Arial" w:hAnsi="Arial" w:cs="Arial"/>
          <w:i/>
          <w:sz w:val="22"/>
          <w:szCs w:val="22"/>
        </w:rPr>
        <w:t xml:space="preserve"> Toda persona es legalmente capaz, excepto aquéllas que la ley declara incapaces. </w:t>
      </w:r>
    </w:p>
    <w:p w:rsidR="00786A47" w:rsidRPr="00786A47" w:rsidRDefault="00786A47" w:rsidP="00786A47">
      <w:pPr>
        <w:jc w:val="both"/>
        <w:rPr>
          <w:rStyle w:val="textonavy1"/>
          <w:rFonts w:ascii="Arial" w:hAnsi="Arial" w:cs="Arial"/>
          <w:b/>
          <w:i/>
          <w:color w:val="auto"/>
          <w:sz w:val="22"/>
          <w:szCs w:val="22"/>
        </w:rPr>
      </w:pPr>
      <w:bookmarkStart w:id="13" w:name="1505"/>
      <w:bookmarkStart w:id="14" w:name="1506"/>
      <w:bookmarkStart w:id="15" w:name="1507"/>
      <w:bookmarkStart w:id="16" w:name="1508"/>
      <w:bookmarkEnd w:id="13"/>
      <w:bookmarkEnd w:id="14"/>
      <w:bookmarkEnd w:id="15"/>
      <w:bookmarkEnd w:id="16"/>
    </w:p>
    <w:p w:rsidR="00786A47" w:rsidRPr="00786A47" w:rsidRDefault="00786A47" w:rsidP="00786A47">
      <w:pPr>
        <w:jc w:val="both"/>
        <w:rPr>
          <w:rFonts w:ascii="Arial" w:hAnsi="Arial" w:cs="Arial"/>
          <w:i/>
          <w:sz w:val="22"/>
          <w:szCs w:val="22"/>
        </w:rPr>
      </w:pPr>
      <w:r w:rsidRPr="00786A47">
        <w:rPr>
          <w:rStyle w:val="textonavy1"/>
          <w:rFonts w:ascii="Arial" w:hAnsi="Arial" w:cs="Arial"/>
          <w:b/>
          <w:i/>
          <w:color w:val="auto"/>
          <w:sz w:val="22"/>
          <w:szCs w:val="22"/>
        </w:rPr>
        <w:t>ARTICULO 1508</w:t>
      </w:r>
      <w:r w:rsidRPr="00786A47">
        <w:rPr>
          <w:rStyle w:val="textonavy1"/>
          <w:rFonts w:ascii="Arial" w:hAnsi="Arial" w:cs="Arial"/>
          <w:i/>
          <w:color w:val="auto"/>
          <w:sz w:val="22"/>
          <w:szCs w:val="22"/>
        </w:rPr>
        <w:t>. VICIOS DEL CONSENTIMIENTO.</w:t>
      </w:r>
      <w:r w:rsidRPr="00786A47">
        <w:rPr>
          <w:rFonts w:ascii="Arial" w:hAnsi="Arial" w:cs="Arial"/>
          <w:i/>
          <w:sz w:val="22"/>
          <w:szCs w:val="22"/>
        </w:rPr>
        <w:t xml:space="preserve"> Los vicios de que puede adolecer el consentimiento, son error, fuerza y dolo. </w:t>
      </w:r>
    </w:p>
    <w:p w:rsidR="00786A47" w:rsidRPr="00786A47" w:rsidRDefault="00786A47" w:rsidP="00786A47">
      <w:pPr>
        <w:jc w:val="both"/>
        <w:rPr>
          <w:rStyle w:val="textonavy1"/>
          <w:rFonts w:ascii="Arial" w:hAnsi="Arial" w:cs="Arial"/>
          <w:i/>
          <w:color w:val="auto"/>
          <w:sz w:val="22"/>
          <w:szCs w:val="22"/>
        </w:rPr>
      </w:pPr>
      <w:bookmarkStart w:id="17" w:name="1509"/>
      <w:bookmarkStart w:id="18" w:name="1513"/>
      <w:bookmarkEnd w:id="17"/>
      <w:bookmarkEnd w:id="18"/>
    </w:p>
    <w:p w:rsidR="00786A47" w:rsidRPr="00786A47" w:rsidRDefault="00786A47" w:rsidP="00786A47">
      <w:pPr>
        <w:jc w:val="both"/>
        <w:rPr>
          <w:rFonts w:ascii="Arial" w:hAnsi="Arial" w:cs="Arial"/>
          <w:i/>
          <w:sz w:val="22"/>
          <w:szCs w:val="22"/>
        </w:rPr>
      </w:pPr>
      <w:r w:rsidRPr="00786A47">
        <w:rPr>
          <w:rStyle w:val="textonavy1"/>
          <w:rFonts w:ascii="Arial" w:hAnsi="Arial" w:cs="Arial"/>
          <w:b/>
          <w:i/>
          <w:color w:val="auto"/>
          <w:sz w:val="22"/>
          <w:szCs w:val="22"/>
        </w:rPr>
        <w:t>ARTICULO 1513</w:t>
      </w:r>
      <w:r w:rsidRPr="00786A47">
        <w:rPr>
          <w:rStyle w:val="textonavy1"/>
          <w:rFonts w:ascii="Arial" w:hAnsi="Arial" w:cs="Arial"/>
          <w:i/>
          <w:color w:val="auto"/>
          <w:sz w:val="22"/>
          <w:szCs w:val="22"/>
        </w:rPr>
        <w:t>. FUERZA.</w:t>
      </w:r>
      <w:r w:rsidRPr="00786A47">
        <w:rPr>
          <w:rFonts w:ascii="Arial" w:hAnsi="Arial" w:cs="Arial"/>
          <w:i/>
          <w:sz w:val="22"/>
          <w:szCs w:val="22"/>
        </w:rPr>
        <w:t xml:space="preserve"> La fuerza no vicia el consentimiento sino cuando es capaz de producir una impresión fuerte en una persona de sano juicio, tomando en cuenta su edad, sexo y condición. Se mira como una fuerza de este género todo acto que infunde a una persona un justo temor de verse expuesta ella, su consorte o alguno de sus ascendientes o descendientes a un mal irreparable y grave. </w:t>
      </w:r>
    </w:p>
    <w:p w:rsidR="00786A47" w:rsidRPr="00786A47" w:rsidRDefault="00786A47" w:rsidP="00786A47">
      <w:pPr>
        <w:jc w:val="both"/>
        <w:rPr>
          <w:rFonts w:ascii="Arial" w:hAnsi="Arial" w:cs="Arial"/>
          <w:i/>
          <w:sz w:val="22"/>
          <w:szCs w:val="22"/>
        </w:rPr>
      </w:pPr>
    </w:p>
    <w:p w:rsidR="00786A47" w:rsidRPr="00786A47" w:rsidRDefault="00786A47" w:rsidP="00786A47">
      <w:pPr>
        <w:jc w:val="both"/>
        <w:rPr>
          <w:rFonts w:ascii="Arial" w:hAnsi="Arial" w:cs="Arial"/>
          <w:i/>
          <w:sz w:val="22"/>
          <w:szCs w:val="22"/>
        </w:rPr>
      </w:pPr>
      <w:r w:rsidRPr="00786A47">
        <w:rPr>
          <w:rFonts w:ascii="Arial" w:hAnsi="Arial" w:cs="Arial"/>
          <w:i/>
          <w:sz w:val="22"/>
          <w:szCs w:val="22"/>
        </w:rPr>
        <w:t xml:space="preserve">El temor reverencial, esto es, el solo temor de desagradar a las personas a quienes se debe sumisión y respeto, no basta para viciar el consentimiento. </w:t>
      </w:r>
    </w:p>
    <w:p w:rsidR="00786A47" w:rsidRPr="00786A47" w:rsidRDefault="00786A47" w:rsidP="00786A47">
      <w:pPr>
        <w:pStyle w:val="Ttulo3"/>
        <w:ind w:left="1080"/>
        <w:jc w:val="both"/>
        <w:rPr>
          <w:color w:val="auto"/>
          <w:sz w:val="22"/>
          <w:szCs w:val="22"/>
        </w:rPr>
      </w:pPr>
      <w:bookmarkStart w:id="19" w:name="1514"/>
      <w:bookmarkStart w:id="20" w:name="1515"/>
      <w:bookmarkStart w:id="21" w:name="1516"/>
      <w:bookmarkStart w:id="22" w:name="1517"/>
      <w:bookmarkStart w:id="23" w:name="1518"/>
      <w:bookmarkEnd w:id="19"/>
      <w:bookmarkEnd w:id="20"/>
      <w:bookmarkEnd w:id="21"/>
      <w:bookmarkEnd w:id="22"/>
      <w:bookmarkEnd w:id="23"/>
    </w:p>
    <w:p w:rsidR="00786A47" w:rsidRPr="00786A47" w:rsidRDefault="00786A47" w:rsidP="00786A47">
      <w:pPr>
        <w:pStyle w:val="Ttulo3"/>
        <w:numPr>
          <w:ilvl w:val="0"/>
          <w:numId w:val="35"/>
        </w:numPr>
        <w:jc w:val="both"/>
        <w:rPr>
          <w:color w:val="auto"/>
          <w:sz w:val="22"/>
          <w:szCs w:val="22"/>
        </w:rPr>
      </w:pPr>
      <w:r w:rsidRPr="00786A47">
        <w:rPr>
          <w:color w:val="auto"/>
          <w:sz w:val="22"/>
          <w:szCs w:val="22"/>
        </w:rPr>
        <w:t>CÓDIGO DE ÉTICA DE LA MEDICINA</w:t>
      </w:r>
      <w:r w:rsidRPr="00786A47">
        <w:rPr>
          <w:rStyle w:val="Refdenotaalpie"/>
          <w:color w:val="auto"/>
          <w:sz w:val="22"/>
          <w:szCs w:val="22"/>
        </w:rPr>
        <w:footnoteReference w:id="12"/>
      </w:r>
      <w:r w:rsidRPr="00786A47">
        <w:rPr>
          <w:color w:val="auto"/>
          <w:sz w:val="22"/>
          <w:szCs w:val="22"/>
        </w:rPr>
        <w:t xml:space="preserve"> (Ley 23 de 1981).</w:t>
      </w:r>
    </w:p>
    <w:p w:rsidR="00786A47" w:rsidRPr="00786A47" w:rsidRDefault="00786A47" w:rsidP="00786A47">
      <w:pPr>
        <w:jc w:val="both"/>
        <w:rPr>
          <w:rFonts w:ascii="Arial" w:hAnsi="Arial" w:cs="Arial"/>
          <w:sz w:val="22"/>
          <w:szCs w:val="22"/>
          <w:lang w:val="es-ES_tradnl"/>
        </w:rPr>
      </w:pPr>
    </w:p>
    <w:p w:rsidR="00786A47" w:rsidRPr="00786A47" w:rsidRDefault="00786A47" w:rsidP="00786A47">
      <w:pPr>
        <w:jc w:val="both"/>
        <w:rPr>
          <w:rFonts w:ascii="Arial" w:eastAsia="Arial Unicode MS" w:hAnsi="Arial" w:cs="Arial"/>
          <w:sz w:val="22"/>
          <w:szCs w:val="22"/>
        </w:rPr>
      </w:pPr>
      <w:r w:rsidRPr="00786A47">
        <w:rPr>
          <w:rFonts w:ascii="Arial" w:eastAsia="Arial Unicode MS" w:hAnsi="Arial" w:cs="Arial"/>
          <w:sz w:val="22"/>
          <w:szCs w:val="22"/>
        </w:rPr>
        <w:t>Se ha establecido básicamente en los artículos 15 y 16 del código de ética mencionado cuyos términos se reafirman en los artículos 10, 11 y 12 del decreto 33 80 de 1981,</w:t>
      </w:r>
      <w:r w:rsidRPr="00786A47">
        <w:rPr>
          <w:rStyle w:val="Refdenotaalpie"/>
          <w:rFonts w:ascii="Arial" w:eastAsia="Arial Unicode MS" w:hAnsi="Arial" w:cs="Arial"/>
          <w:sz w:val="22"/>
          <w:szCs w:val="22"/>
        </w:rPr>
        <w:footnoteReference w:id="13"/>
      </w:r>
      <w:r w:rsidRPr="00786A47">
        <w:rPr>
          <w:rFonts w:ascii="Arial" w:eastAsia="Arial Unicode MS" w:hAnsi="Arial" w:cs="Arial"/>
          <w:sz w:val="22"/>
          <w:szCs w:val="22"/>
        </w:rPr>
        <w:t xml:space="preserve"> el cual al igual que la resolución 7011 del 30 de Junio de 1982 artículo 34 del Ministerio de Salud disponen que el "</w:t>
      </w:r>
      <w:r w:rsidRPr="00786A47">
        <w:rPr>
          <w:rFonts w:ascii="Arial" w:eastAsia="Arial Unicode MS" w:hAnsi="Arial" w:cs="Arial"/>
          <w:b/>
          <w:i/>
          <w:sz w:val="22"/>
          <w:szCs w:val="22"/>
        </w:rPr>
        <w:t>médico dejará constancia en la historia clínica del hecho de la advertencia del riesgo previsto o de la imposibilidad de hacerla</w:t>
      </w:r>
      <w:r w:rsidRPr="00786A47">
        <w:rPr>
          <w:rFonts w:ascii="Arial" w:eastAsia="Arial Unicode MS" w:hAnsi="Arial" w:cs="Arial"/>
          <w:sz w:val="22"/>
          <w:szCs w:val="22"/>
        </w:rPr>
        <w:t xml:space="preserve">". Esto reviste doble importancia, pues por un lado protege al médico frente a los posibles accidentes o riesgos inesperados de las intervenciones, pero también lo obliga a mantener canales de comunicación con el paciente, </w:t>
      </w:r>
      <w:r w:rsidR="00985B3B" w:rsidRPr="00786A47">
        <w:rPr>
          <w:rFonts w:ascii="Arial" w:eastAsia="Arial Unicode MS" w:hAnsi="Arial" w:cs="Arial"/>
          <w:sz w:val="22"/>
          <w:szCs w:val="22"/>
        </w:rPr>
        <w:t>rompiendo,</w:t>
      </w:r>
      <w:r w:rsidRPr="00786A47">
        <w:rPr>
          <w:rFonts w:ascii="Arial" w:eastAsia="Arial Unicode MS" w:hAnsi="Arial" w:cs="Arial"/>
          <w:sz w:val="22"/>
          <w:szCs w:val="22"/>
        </w:rPr>
        <w:t xml:space="preserve"> aunque sea de manera mínima con la deshumanización de la medicina que se ha generado mayormente en nuestro caso, desde la vigencia del actual sistema de salud, tal como se ha indicado por la doctrina de manera insistente.</w:t>
      </w:r>
    </w:p>
    <w:p w:rsidR="00786A47" w:rsidRPr="00786A47" w:rsidRDefault="00786A47" w:rsidP="00786A47">
      <w:pPr>
        <w:jc w:val="both"/>
        <w:rPr>
          <w:rFonts w:ascii="Arial" w:eastAsia="Arial Unicode MS" w:hAnsi="Arial" w:cs="Arial"/>
          <w:sz w:val="22"/>
          <w:szCs w:val="22"/>
        </w:rPr>
      </w:pPr>
    </w:p>
    <w:p w:rsidR="00786A47" w:rsidRPr="00786A47" w:rsidRDefault="00786A47" w:rsidP="00786A47">
      <w:pPr>
        <w:jc w:val="both"/>
        <w:rPr>
          <w:rFonts w:ascii="Arial" w:eastAsia="Arial Unicode MS" w:hAnsi="Arial" w:cs="Arial"/>
          <w:sz w:val="22"/>
          <w:szCs w:val="22"/>
        </w:rPr>
      </w:pPr>
      <w:r w:rsidRPr="00786A47">
        <w:rPr>
          <w:rFonts w:ascii="Arial" w:eastAsia="Arial Unicode MS" w:hAnsi="Arial" w:cs="Arial"/>
          <w:sz w:val="22"/>
          <w:szCs w:val="22"/>
        </w:rPr>
        <w:t xml:space="preserve">Trayendo a colación a </w:t>
      </w:r>
      <w:r w:rsidRPr="00786A47">
        <w:rPr>
          <w:rFonts w:ascii="Arial" w:eastAsia="Arial Unicode MS" w:hAnsi="Arial" w:cs="Arial"/>
          <w:b/>
          <w:sz w:val="22"/>
          <w:szCs w:val="22"/>
        </w:rPr>
        <w:t>Jorge Eduardo Paredes Duque</w:t>
      </w:r>
      <w:r w:rsidRPr="00786A47">
        <w:rPr>
          <w:rFonts w:ascii="Arial" w:eastAsia="Arial Unicode MS" w:hAnsi="Arial" w:cs="Arial"/>
          <w:sz w:val="22"/>
          <w:szCs w:val="22"/>
        </w:rPr>
        <w:t>, uno de los autores que más compromiso ha tenido con el tema, se puede ver que el numeral 5 de la resolución 13437 del Ministerio de salud (1991), “</w:t>
      </w:r>
      <w:r w:rsidRPr="00786A47">
        <w:rPr>
          <w:rFonts w:ascii="Arial" w:eastAsia="Arial Unicode MS" w:hAnsi="Arial" w:cs="Arial"/>
          <w:b/>
          <w:i/>
          <w:sz w:val="22"/>
          <w:szCs w:val="22"/>
        </w:rPr>
        <w:t>el paciente tiene su derecho a que se le preste durante todo el proceso de la enfermedad la mejor asistencia médica disponible pero respetando los derechos del paciente en el caso de enfermedad irreversible</w:t>
      </w:r>
      <w:r w:rsidRPr="00786A47">
        <w:rPr>
          <w:rFonts w:ascii="Arial" w:eastAsia="Arial Unicode MS" w:hAnsi="Arial" w:cs="Arial"/>
          <w:sz w:val="22"/>
          <w:szCs w:val="22"/>
        </w:rPr>
        <w:t>”.</w:t>
      </w:r>
      <w:r w:rsidRPr="00786A47">
        <w:rPr>
          <w:rStyle w:val="Refdenotaalpie"/>
          <w:rFonts w:ascii="Arial" w:eastAsia="Arial Unicode MS" w:hAnsi="Arial" w:cs="Arial"/>
          <w:sz w:val="22"/>
          <w:szCs w:val="22"/>
        </w:rPr>
        <w:footnoteReference w:id="14"/>
      </w:r>
    </w:p>
    <w:p w:rsidR="00786A47" w:rsidRPr="00786A47" w:rsidRDefault="00786A47" w:rsidP="00786A47">
      <w:pPr>
        <w:jc w:val="both"/>
        <w:rPr>
          <w:rFonts w:ascii="Arial" w:eastAsia="Arial Unicode MS" w:hAnsi="Arial" w:cs="Arial"/>
          <w:sz w:val="22"/>
          <w:szCs w:val="22"/>
        </w:rPr>
      </w:pPr>
    </w:p>
    <w:p w:rsidR="00786A47" w:rsidRPr="00786A47" w:rsidRDefault="00786A47" w:rsidP="00786A47">
      <w:pPr>
        <w:jc w:val="both"/>
        <w:rPr>
          <w:rFonts w:ascii="Arial" w:eastAsia="Arial Unicode MS" w:hAnsi="Arial" w:cs="Arial"/>
          <w:sz w:val="22"/>
          <w:szCs w:val="22"/>
        </w:rPr>
      </w:pPr>
      <w:r w:rsidRPr="00786A47">
        <w:rPr>
          <w:rFonts w:ascii="Arial" w:eastAsia="Arial Unicode MS" w:hAnsi="Arial" w:cs="Arial"/>
          <w:sz w:val="22"/>
          <w:szCs w:val="22"/>
        </w:rPr>
        <w:t>En el numeral 8 se enaltece “</w:t>
      </w:r>
      <w:r w:rsidRPr="00786A47">
        <w:rPr>
          <w:rFonts w:ascii="Arial" w:eastAsia="Arial Unicode MS" w:hAnsi="Arial" w:cs="Arial"/>
          <w:b/>
          <w:i/>
          <w:sz w:val="22"/>
          <w:szCs w:val="22"/>
        </w:rPr>
        <w:t>su derecho a que se le respete la voluntad de participar o no en investigaciones realizadas por personal científicamente calificado siempre y cuando se haya enterado acerca de los objetivos, métodos, posibles beneficios, riesgos previsibles e incomodidades que el proceso investigativo pueda implicar</w:t>
      </w:r>
      <w:r w:rsidRPr="00786A47">
        <w:rPr>
          <w:rFonts w:ascii="Arial" w:eastAsia="Arial Unicode MS" w:hAnsi="Arial" w:cs="Arial"/>
          <w:sz w:val="22"/>
          <w:szCs w:val="22"/>
        </w:rPr>
        <w:t>” De igual forma, el numeral 10 destaca del paciente “</w:t>
      </w:r>
      <w:r w:rsidRPr="00786A47">
        <w:rPr>
          <w:rFonts w:ascii="Arial" w:eastAsia="Arial Unicode MS" w:hAnsi="Arial" w:cs="Arial"/>
          <w:b/>
          <w:i/>
          <w:sz w:val="22"/>
          <w:szCs w:val="22"/>
        </w:rPr>
        <w:t>su derecho a morir y a que se le respete su voluntad de permitir que el proceso de la muerte, siga su curso natural en la fase terminal de su enfermedad</w:t>
      </w:r>
      <w:r w:rsidRPr="00786A47">
        <w:rPr>
          <w:rFonts w:ascii="Arial" w:eastAsia="Arial Unicode MS" w:hAnsi="Arial" w:cs="Arial"/>
          <w:sz w:val="22"/>
          <w:szCs w:val="22"/>
        </w:rPr>
        <w:t>”.</w:t>
      </w:r>
      <w:r w:rsidRPr="00786A47">
        <w:rPr>
          <w:rStyle w:val="Refdenotaalpie"/>
          <w:rFonts w:ascii="Arial" w:eastAsia="Arial Unicode MS" w:hAnsi="Arial" w:cs="Arial"/>
          <w:sz w:val="22"/>
          <w:szCs w:val="22"/>
        </w:rPr>
        <w:footnoteReference w:id="15"/>
      </w:r>
    </w:p>
    <w:p w:rsidR="00786A47" w:rsidRPr="00786A47" w:rsidRDefault="00786A47" w:rsidP="00786A47">
      <w:pPr>
        <w:jc w:val="both"/>
        <w:rPr>
          <w:rFonts w:ascii="Arial" w:eastAsia="Arial Unicode MS" w:hAnsi="Arial" w:cs="Arial"/>
          <w:sz w:val="22"/>
          <w:szCs w:val="22"/>
        </w:rPr>
      </w:pPr>
    </w:p>
    <w:p w:rsidR="00786A47" w:rsidRPr="00786A47" w:rsidRDefault="00786A47" w:rsidP="00786A47">
      <w:pPr>
        <w:jc w:val="both"/>
        <w:rPr>
          <w:rFonts w:ascii="Arial" w:eastAsia="Arial Unicode MS" w:hAnsi="Arial" w:cs="Arial"/>
          <w:sz w:val="22"/>
          <w:szCs w:val="22"/>
        </w:rPr>
      </w:pPr>
      <w:r w:rsidRPr="00786A47">
        <w:rPr>
          <w:rFonts w:ascii="Arial" w:eastAsia="Arial Unicode MS" w:hAnsi="Arial" w:cs="Arial"/>
          <w:sz w:val="22"/>
          <w:szCs w:val="22"/>
        </w:rPr>
        <w:t>Por la misma línea el artículo 14 de la ley 23 reza sobre los derechos del paciente cuando se trata de menores de edad: “</w:t>
      </w:r>
      <w:r w:rsidRPr="00786A47">
        <w:rPr>
          <w:rFonts w:ascii="Arial" w:eastAsia="Arial Unicode MS" w:hAnsi="Arial" w:cs="Arial"/>
          <w:b/>
          <w:i/>
          <w:sz w:val="22"/>
          <w:szCs w:val="22"/>
        </w:rPr>
        <w:t>el médico no intervendrá quirúrgicamente a menores de edad, a personas inconscientes o mentalmente incapaces, sin la previa autorización de sus padres, tutores o allegados, a menos que la urgencia del caso exija una intervención inmediata</w:t>
      </w:r>
      <w:r w:rsidRPr="00786A47">
        <w:rPr>
          <w:rFonts w:ascii="Arial" w:eastAsia="Arial Unicode MS" w:hAnsi="Arial" w:cs="Arial"/>
          <w:sz w:val="22"/>
          <w:szCs w:val="22"/>
        </w:rPr>
        <w:t>”.</w:t>
      </w:r>
      <w:r w:rsidRPr="00786A47">
        <w:rPr>
          <w:rStyle w:val="Refdenotaalpie"/>
          <w:rFonts w:ascii="Arial" w:eastAsia="Arial Unicode MS" w:hAnsi="Arial" w:cs="Arial"/>
          <w:sz w:val="22"/>
          <w:szCs w:val="22"/>
        </w:rPr>
        <w:footnoteReference w:id="16"/>
      </w:r>
      <w:r w:rsidRPr="00786A47">
        <w:rPr>
          <w:rFonts w:ascii="Arial" w:eastAsia="Arial Unicode MS" w:hAnsi="Arial" w:cs="Arial"/>
          <w:sz w:val="22"/>
          <w:szCs w:val="22"/>
        </w:rPr>
        <w:t xml:space="preserve"> </w:t>
      </w:r>
    </w:p>
    <w:p w:rsidR="00786A47" w:rsidRPr="00786A47" w:rsidRDefault="00786A47" w:rsidP="00786A47">
      <w:pPr>
        <w:ind w:right="618"/>
        <w:jc w:val="both"/>
        <w:rPr>
          <w:rFonts w:ascii="Arial" w:eastAsia="Arial Unicode MS" w:hAnsi="Arial" w:cs="Arial"/>
          <w:sz w:val="22"/>
          <w:szCs w:val="22"/>
        </w:rPr>
      </w:pPr>
    </w:p>
    <w:p w:rsidR="00786A47" w:rsidRPr="00786A47" w:rsidRDefault="00786A47" w:rsidP="00786A47">
      <w:pPr>
        <w:ind w:right="618"/>
        <w:jc w:val="both"/>
        <w:rPr>
          <w:rFonts w:ascii="Arial" w:eastAsia="Arial Unicode MS" w:hAnsi="Arial" w:cs="Arial"/>
          <w:sz w:val="22"/>
          <w:szCs w:val="22"/>
        </w:rPr>
      </w:pPr>
      <w:r w:rsidRPr="00786A47">
        <w:rPr>
          <w:rFonts w:ascii="Arial" w:eastAsia="Arial Unicode MS" w:hAnsi="Arial" w:cs="Arial"/>
          <w:sz w:val="22"/>
          <w:szCs w:val="22"/>
        </w:rPr>
        <w:t>Un gráfico quizás recoja de mejor manera la idea y los artículos constitucionales que se proponen como referentes:</w:t>
      </w:r>
    </w:p>
    <w:p w:rsidR="00786A47" w:rsidRPr="00786A47" w:rsidRDefault="00786A47" w:rsidP="00786A47">
      <w:pPr>
        <w:ind w:right="618"/>
        <w:jc w:val="both"/>
        <w:rPr>
          <w:rFonts w:ascii="Arial" w:eastAsia="Arial Unicode MS" w:hAnsi="Arial" w:cs="Arial"/>
          <w:sz w:val="22"/>
          <w:szCs w:val="22"/>
        </w:rPr>
      </w:pPr>
    </w:p>
    <w:p w:rsidR="00786A47" w:rsidRPr="00786A47" w:rsidRDefault="00786A47" w:rsidP="00786A47">
      <w:pPr>
        <w:jc w:val="both"/>
        <w:rPr>
          <w:rFonts w:ascii="Arial" w:eastAsia="Arial Unicode MS" w:hAnsi="Arial" w:cs="Arial"/>
          <w:b/>
          <w:sz w:val="22"/>
          <w:szCs w:val="22"/>
        </w:rPr>
      </w:pPr>
      <w:r w:rsidRPr="00786A47">
        <w:rPr>
          <w:rFonts w:ascii="Arial" w:eastAsia="Arial Unicode MS" w:hAnsi="Arial" w:cs="Arial"/>
          <w:b/>
          <w:sz w:val="22"/>
          <w:szCs w:val="22"/>
        </w:rPr>
        <w:t>Gráfica (1) El consentimiento informado y los derechos humanos</w:t>
      </w:r>
    </w:p>
    <w:p w:rsidR="00786A47" w:rsidRPr="00786A47" w:rsidRDefault="00786A47" w:rsidP="00786A47">
      <w:pPr>
        <w:jc w:val="both"/>
        <w:rPr>
          <w:rFonts w:ascii="Arial" w:eastAsia="Arial Unicode MS" w:hAnsi="Arial" w:cs="Arial"/>
          <w:b/>
          <w:sz w:val="22"/>
          <w:szCs w:val="22"/>
        </w:rPr>
      </w:pPr>
    </w:p>
    <w:p w:rsidR="00786A47" w:rsidRPr="00786A47" w:rsidRDefault="00786A47" w:rsidP="00786A47">
      <w:pPr>
        <w:jc w:val="both"/>
        <w:rPr>
          <w:rFonts w:ascii="Arial" w:eastAsia="Arial Unicode MS" w:hAnsi="Arial" w:cs="Arial"/>
          <w:sz w:val="22"/>
          <w:szCs w:val="22"/>
        </w:rPr>
      </w:pPr>
      <w:r w:rsidRPr="00786A47">
        <w:rPr>
          <w:rFonts w:ascii="Arial" w:eastAsia="Arial Unicode MS" w:hAnsi="Arial" w:cs="Arial"/>
          <w:sz w:val="22"/>
          <w:szCs w:val="22"/>
        </w:rPr>
        <w:object w:dxaOrig="7181" w:dyaOrig="5401">
          <v:shape id="_x0000_i1025" type="#_x0000_t75" style="width:429pt;height:266.25pt" o:ole="">
            <v:imagedata r:id="rId8" o:title="" grayscale="t"/>
          </v:shape>
          <o:OLEObject Type="Embed" ProgID="PowerPoint.Slide.12" ShapeID="_x0000_i1025" DrawAspect="Content" ObjectID="_1720428529" r:id="rId9"/>
        </w:object>
      </w:r>
    </w:p>
    <w:p w:rsidR="00786A47" w:rsidRPr="00786A47" w:rsidRDefault="00786A47" w:rsidP="00786A47">
      <w:pPr>
        <w:jc w:val="both"/>
        <w:rPr>
          <w:rFonts w:ascii="Arial" w:eastAsia="Arial Unicode MS" w:hAnsi="Arial" w:cs="Arial"/>
          <w:sz w:val="22"/>
          <w:szCs w:val="22"/>
        </w:rPr>
      </w:pPr>
      <w:r w:rsidRPr="00786A47">
        <w:rPr>
          <w:rFonts w:ascii="Arial" w:eastAsia="Arial Unicode MS" w:hAnsi="Arial" w:cs="Arial"/>
          <w:sz w:val="22"/>
          <w:szCs w:val="22"/>
        </w:rPr>
        <w:t xml:space="preserve">Fuente: República de Colombia ley 23 de 1981 </w:t>
      </w:r>
      <w:r w:rsidR="00985B3B" w:rsidRPr="00786A47">
        <w:rPr>
          <w:rFonts w:ascii="Arial" w:eastAsia="Arial Unicode MS" w:hAnsi="Arial" w:cs="Arial"/>
          <w:sz w:val="22"/>
          <w:szCs w:val="22"/>
        </w:rPr>
        <w:t>y Constitución</w:t>
      </w:r>
      <w:r w:rsidRPr="00786A47">
        <w:rPr>
          <w:rFonts w:ascii="Arial" w:eastAsia="Arial Unicode MS" w:hAnsi="Arial" w:cs="Arial"/>
          <w:sz w:val="22"/>
          <w:szCs w:val="22"/>
        </w:rPr>
        <w:t xml:space="preserve"> política de 1991.</w:t>
      </w:r>
    </w:p>
    <w:p w:rsidR="00786A47" w:rsidRPr="00786A47" w:rsidRDefault="00786A47" w:rsidP="00786A47">
      <w:pPr>
        <w:jc w:val="both"/>
        <w:rPr>
          <w:rFonts w:ascii="Arial" w:eastAsia="Arial Unicode MS" w:hAnsi="Arial" w:cs="Arial"/>
          <w:sz w:val="22"/>
          <w:szCs w:val="22"/>
        </w:rPr>
      </w:pPr>
    </w:p>
    <w:p w:rsidR="00786A47" w:rsidRPr="00786A47" w:rsidRDefault="00786A47" w:rsidP="00786A47">
      <w:pPr>
        <w:pStyle w:val="Ttulo3"/>
        <w:numPr>
          <w:ilvl w:val="0"/>
          <w:numId w:val="35"/>
        </w:numPr>
        <w:jc w:val="both"/>
        <w:rPr>
          <w:color w:val="auto"/>
          <w:sz w:val="22"/>
          <w:szCs w:val="22"/>
        </w:rPr>
      </w:pPr>
      <w:r w:rsidRPr="00786A47">
        <w:rPr>
          <w:color w:val="auto"/>
          <w:sz w:val="22"/>
          <w:szCs w:val="22"/>
        </w:rPr>
        <w:t xml:space="preserve">PROTECCIÓN DESDE EL CODIGO </w:t>
      </w:r>
      <w:r w:rsidR="00985B3B" w:rsidRPr="00786A47">
        <w:rPr>
          <w:color w:val="auto"/>
          <w:sz w:val="22"/>
          <w:szCs w:val="22"/>
        </w:rPr>
        <w:t>PENAL. -</w:t>
      </w:r>
      <w:r w:rsidRPr="00786A47">
        <w:rPr>
          <w:color w:val="auto"/>
          <w:sz w:val="22"/>
          <w:szCs w:val="22"/>
        </w:rPr>
        <w:t xml:space="preserve"> Ley 599 – 2001</w:t>
      </w:r>
    </w:p>
    <w:p w:rsidR="00786A47" w:rsidRPr="00786A47" w:rsidRDefault="00786A47" w:rsidP="00786A47">
      <w:pPr>
        <w:jc w:val="both"/>
        <w:rPr>
          <w:rFonts w:ascii="Arial" w:hAnsi="Arial" w:cs="Arial"/>
          <w:sz w:val="22"/>
          <w:szCs w:val="22"/>
          <w:lang w:val="es-ES_tradnl"/>
        </w:rPr>
      </w:pPr>
    </w:p>
    <w:p w:rsidR="00786A47" w:rsidRPr="00786A47" w:rsidRDefault="003F153A" w:rsidP="00786A47">
      <w:pPr>
        <w:jc w:val="both"/>
        <w:rPr>
          <w:rFonts w:ascii="Arial" w:hAnsi="Arial" w:cs="Arial"/>
          <w:sz w:val="22"/>
          <w:szCs w:val="22"/>
          <w:lang w:val="es-MX"/>
        </w:rPr>
      </w:pPr>
      <w:r>
        <w:rPr>
          <w:rFonts w:ascii="Arial" w:hAnsi="Arial" w:cs="Arial"/>
          <w:sz w:val="22"/>
          <w:szCs w:val="22"/>
          <w:lang w:val="es-MX"/>
        </w:rPr>
        <w:t>Desde el c</w:t>
      </w:r>
      <w:r w:rsidR="00786A47" w:rsidRPr="00786A47">
        <w:rPr>
          <w:rFonts w:ascii="Arial" w:hAnsi="Arial" w:cs="Arial"/>
          <w:sz w:val="22"/>
          <w:szCs w:val="22"/>
          <w:lang w:val="es-MX"/>
        </w:rPr>
        <w:t xml:space="preserve">ódigo represor </w:t>
      </w:r>
      <w:r w:rsidRPr="00786A47">
        <w:rPr>
          <w:rFonts w:ascii="Arial" w:hAnsi="Arial" w:cs="Arial"/>
          <w:sz w:val="22"/>
          <w:szCs w:val="22"/>
          <w:lang w:val="es-MX"/>
        </w:rPr>
        <w:t>colombiano</w:t>
      </w:r>
      <w:r w:rsidR="00786A47" w:rsidRPr="00786A47">
        <w:rPr>
          <w:rFonts w:ascii="Arial" w:hAnsi="Arial" w:cs="Arial"/>
          <w:sz w:val="22"/>
          <w:szCs w:val="22"/>
          <w:lang w:val="es-MX"/>
        </w:rPr>
        <w:t xml:space="preserve"> se han recogido varias conductas punibles que tienen relación directa con el tema de las actividades científicas y su relación con los seres vivos. El respeto a la condición humana, la necesidad del consentimiento informado para cualquier actividad que implique afectación directa en su integridad son situaciones que no fueron desconocidas en esta normatividad.</w:t>
      </w:r>
    </w:p>
    <w:p w:rsidR="00786A47" w:rsidRPr="00786A47" w:rsidRDefault="00786A47" w:rsidP="00786A47">
      <w:pPr>
        <w:jc w:val="both"/>
        <w:rPr>
          <w:rFonts w:ascii="Arial" w:hAnsi="Arial" w:cs="Arial"/>
          <w:sz w:val="22"/>
          <w:szCs w:val="22"/>
          <w:lang w:val="es-MX"/>
        </w:rPr>
      </w:pPr>
    </w:p>
    <w:p w:rsidR="00786A47" w:rsidRPr="00786A47" w:rsidRDefault="00786A47" w:rsidP="00786A47">
      <w:pPr>
        <w:jc w:val="both"/>
        <w:rPr>
          <w:rFonts w:ascii="Arial" w:hAnsi="Arial" w:cs="Arial"/>
          <w:sz w:val="22"/>
          <w:szCs w:val="22"/>
          <w:lang w:val="es-MX"/>
        </w:rPr>
      </w:pPr>
      <w:r w:rsidRPr="00786A47">
        <w:rPr>
          <w:rFonts w:ascii="Arial" w:hAnsi="Arial" w:cs="Arial"/>
          <w:sz w:val="22"/>
          <w:szCs w:val="22"/>
          <w:lang w:val="es-MX"/>
        </w:rPr>
        <w:t xml:space="preserve">Consideramos </w:t>
      </w:r>
      <w:r w:rsidR="00985B3B" w:rsidRPr="00786A47">
        <w:rPr>
          <w:rFonts w:ascii="Arial" w:hAnsi="Arial" w:cs="Arial"/>
          <w:sz w:val="22"/>
          <w:szCs w:val="22"/>
          <w:lang w:val="es-MX"/>
        </w:rPr>
        <w:t>que,</w:t>
      </w:r>
      <w:r w:rsidRPr="00786A47">
        <w:rPr>
          <w:rFonts w:ascii="Arial" w:hAnsi="Arial" w:cs="Arial"/>
          <w:sz w:val="22"/>
          <w:szCs w:val="22"/>
          <w:lang w:val="es-MX"/>
        </w:rPr>
        <w:t xml:space="preserve"> sin lugar a dudas, estas normas se convierten en un obstáculo más a los intereses económicos e individuales de la investigación. Son una talanquera a los atropellos que se comenten muchas veces en nombre del avance de la ciencia.</w:t>
      </w:r>
    </w:p>
    <w:p w:rsidR="00786A47" w:rsidRPr="00786A47" w:rsidRDefault="00786A47" w:rsidP="00786A47">
      <w:pPr>
        <w:jc w:val="both"/>
        <w:rPr>
          <w:rFonts w:ascii="Arial" w:hAnsi="Arial" w:cs="Arial"/>
          <w:sz w:val="22"/>
          <w:szCs w:val="22"/>
          <w:lang w:val="es-MX"/>
        </w:rPr>
      </w:pPr>
    </w:p>
    <w:p w:rsidR="00786A47" w:rsidRPr="00786A47" w:rsidRDefault="00786A47" w:rsidP="00786A47">
      <w:pPr>
        <w:jc w:val="both"/>
        <w:rPr>
          <w:rFonts w:ascii="Arial" w:hAnsi="Arial" w:cs="Arial"/>
          <w:sz w:val="22"/>
          <w:szCs w:val="22"/>
          <w:lang w:val="es-MX"/>
        </w:rPr>
      </w:pPr>
      <w:r w:rsidRPr="00786A47">
        <w:rPr>
          <w:rFonts w:ascii="Arial" w:hAnsi="Arial" w:cs="Arial"/>
          <w:sz w:val="22"/>
          <w:szCs w:val="22"/>
          <w:lang w:val="es-MX"/>
        </w:rPr>
        <w:t>Presentamos a continuación una serie de conductas punibles del Código mencionado con anterioridad:</w:t>
      </w:r>
    </w:p>
    <w:p w:rsidR="00786A47" w:rsidRPr="00786A47" w:rsidRDefault="00786A47" w:rsidP="00786A47">
      <w:pPr>
        <w:jc w:val="both"/>
        <w:rPr>
          <w:rFonts w:ascii="Arial" w:hAnsi="Arial" w:cs="Arial"/>
          <w:sz w:val="22"/>
          <w:szCs w:val="22"/>
          <w:lang w:val="es-MX"/>
        </w:rPr>
      </w:pPr>
    </w:p>
    <w:p w:rsidR="00786A47" w:rsidRPr="00786A47" w:rsidRDefault="00786A47" w:rsidP="00786A47">
      <w:pPr>
        <w:jc w:val="both"/>
        <w:rPr>
          <w:rFonts w:ascii="Arial" w:hAnsi="Arial" w:cs="Arial"/>
          <w:i/>
          <w:iCs/>
          <w:sz w:val="22"/>
          <w:szCs w:val="22"/>
          <w:lang w:val="es-MX"/>
        </w:rPr>
      </w:pPr>
      <w:r w:rsidRPr="00786A47">
        <w:rPr>
          <w:rFonts w:ascii="Arial" w:hAnsi="Arial" w:cs="Arial"/>
          <w:sz w:val="22"/>
          <w:szCs w:val="22"/>
          <w:lang w:val="es-MX"/>
        </w:rPr>
        <w:t xml:space="preserve">Art. 132.  </w:t>
      </w:r>
      <w:r w:rsidRPr="00786A47">
        <w:rPr>
          <w:rFonts w:ascii="Arial" w:hAnsi="Arial" w:cs="Arial"/>
          <w:b/>
          <w:bCs/>
          <w:sz w:val="22"/>
          <w:szCs w:val="22"/>
          <w:lang w:val="es-MX"/>
        </w:rPr>
        <w:t>Manipulación genética</w:t>
      </w:r>
      <w:r w:rsidRPr="00786A47">
        <w:rPr>
          <w:rFonts w:ascii="Arial" w:hAnsi="Arial" w:cs="Arial"/>
          <w:i/>
          <w:iCs/>
          <w:sz w:val="22"/>
          <w:szCs w:val="22"/>
          <w:lang w:val="es-MX"/>
        </w:rPr>
        <w:t xml:space="preserve">. </w:t>
      </w:r>
    </w:p>
    <w:p w:rsidR="00786A47" w:rsidRPr="00786A47" w:rsidRDefault="00786A47" w:rsidP="00786A47">
      <w:pPr>
        <w:jc w:val="both"/>
        <w:rPr>
          <w:rFonts w:ascii="Arial" w:hAnsi="Arial" w:cs="Arial"/>
          <w:i/>
          <w:iCs/>
          <w:sz w:val="22"/>
          <w:szCs w:val="22"/>
          <w:lang w:val="es-MX"/>
        </w:rPr>
      </w:pPr>
    </w:p>
    <w:p w:rsidR="00786A47" w:rsidRPr="00985B3B" w:rsidRDefault="00786A47" w:rsidP="00786A47">
      <w:pPr>
        <w:ind w:left="708"/>
        <w:jc w:val="both"/>
        <w:rPr>
          <w:rFonts w:ascii="Arial" w:eastAsia="Arial Unicode MS" w:hAnsi="Arial" w:cs="Arial"/>
          <w:i/>
          <w:iCs/>
          <w:sz w:val="22"/>
          <w:szCs w:val="22"/>
        </w:rPr>
      </w:pPr>
      <w:r w:rsidRPr="00985B3B">
        <w:rPr>
          <w:rFonts w:ascii="Arial" w:hAnsi="Arial" w:cs="Arial"/>
          <w:i/>
          <w:iCs/>
          <w:sz w:val="22"/>
          <w:szCs w:val="22"/>
        </w:rPr>
        <w:t xml:space="preserve">El que manipule genes humanos alterando el genotipo con finalidad </w:t>
      </w:r>
      <w:r w:rsidR="00985B3B" w:rsidRPr="00985B3B">
        <w:rPr>
          <w:rFonts w:ascii="Arial" w:hAnsi="Arial" w:cs="Arial"/>
          <w:i/>
          <w:iCs/>
          <w:sz w:val="22"/>
          <w:szCs w:val="22"/>
        </w:rPr>
        <w:t>diferente al</w:t>
      </w:r>
      <w:r w:rsidRPr="00985B3B">
        <w:rPr>
          <w:rFonts w:ascii="Arial" w:hAnsi="Arial" w:cs="Arial"/>
          <w:i/>
          <w:iCs/>
          <w:sz w:val="22"/>
          <w:szCs w:val="22"/>
        </w:rPr>
        <w:t xml:space="preserve"> tratamiento, el diagnóstico, o la investigación científica relacionado con ellos en el campo de la biología, la genética y la medicina, orientados a aliviar el sufrimiento o mejorar la salud de la persona y de la humanidad...</w:t>
      </w:r>
    </w:p>
    <w:p w:rsidR="00786A47" w:rsidRPr="00786A47" w:rsidRDefault="00786A47" w:rsidP="00786A47">
      <w:pPr>
        <w:pStyle w:val="Textoindependiente3"/>
        <w:jc w:val="both"/>
        <w:rPr>
          <w:rFonts w:ascii="Arial" w:hAnsi="Arial" w:cs="Arial"/>
          <w:sz w:val="22"/>
          <w:szCs w:val="22"/>
        </w:rPr>
      </w:pPr>
      <w:r w:rsidRPr="00786A47">
        <w:rPr>
          <w:rFonts w:ascii="Arial" w:hAnsi="Arial" w:cs="Arial"/>
          <w:sz w:val="22"/>
          <w:szCs w:val="22"/>
        </w:rPr>
        <w:t xml:space="preserve">Art. 133. </w:t>
      </w:r>
      <w:r w:rsidRPr="00786A47">
        <w:rPr>
          <w:rFonts w:ascii="Arial" w:hAnsi="Arial" w:cs="Arial"/>
          <w:b/>
          <w:bCs/>
          <w:sz w:val="22"/>
          <w:szCs w:val="22"/>
        </w:rPr>
        <w:t>Repetibilidad del ser humano</w:t>
      </w:r>
      <w:r w:rsidRPr="00786A47">
        <w:rPr>
          <w:rFonts w:ascii="Arial" w:hAnsi="Arial" w:cs="Arial"/>
          <w:sz w:val="22"/>
          <w:szCs w:val="22"/>
        </w:rPr>
        <w:t xml:space="preserve">. </w:t>
      </w:r>
    </w:p>
    <w:p w:rsidR="00786A47" w:rsidRPr="00786A47" w:rsidRDefault="00786A47" w:rsidP="00786A47">
      <w:pPr>
        <w:pStyle w:val="Textoindependiente3"/>
        <w:jc w:val="both"/>
        <w:rPr>
          <w:rFonts w:ascii="Arial" w:hAnsi="Arial" w:cs="Arial"/>
          <w:sz w:val="22"/>
          <w:szCs w:val="22"/>
        </w:rPr>
      </w:pPr>
    </w:p>
    <w:p w:rsidR="00786A47" w:rsidRPr="00786A47" w:rsidRDefault="00786A47" w:rsidP="00786A47">
      <w:pPr>
        <w:pStyle w:val="Textoindependiente3"/>
        <w:ind w:left="708"/>
        <w:jc w:val="both"/>
        <w:rPr>
          <w:rFonts w:ascii="Arial" w:hAnsi="Arial" w:cs="Arial"/>
          <w:i/>
          <w:iCs/>
          <w:sz w:val="22"/>
          <w:szCs w:val="22"/>
        </w:rPr>
      </w:pPr>
      <w:r w:rsidRPr="00786A47">
        <w:rPr>
          <w:rFonts w:ascii="Arial" w:hAnsi="Arial" w:cs="Arial"/>
          <w:i/>
          <w:iCs/>
          <w:sz w:val="22"/>
          <w:szCs w:val="22"/>
        </w:rPr>
        <w:lastRenderedPageBreak/>
        <w:t>El que genere seres humanos idénticos por clonación o por cualquier otro procedimiento, incurrirá en prisión de dos a seis años.</w:t>
      </w:r>
    </w:p>
    <w:p w:rsidR="00786A47" w:rsidRPr="00786A47" w:rsidRDefault="00786A47" w:rsidP="00786A47">
      <w:pPr>
        <w:jc w:val="both"/>
        <w:rPr>
          <w:rFonts w:ascii="Arial" w:hAnsi="Arial" w:cs="Arial"/>
          <w:sz w:val="22"/>
          <w:szCs w:val="22"/>
        </w:rPr>
      </w:pPr>
    </w:p>
    <w:p w:rsidR="00786A47" w:rsidRPr="00786A47" w:rsidRDefault="00786A47" w:rsidP="00786A47">
      <w:pPr>
        <w:pStyle w:val="Textoindependiente3"/>
        <w:jc w:val="both"/>
        <w:rPr>
          <w:rFonts w:ascii="Arial" w:hAnsi="Arial" w:cs="Arial"/>
          <w:sz w:val="22"/>
          <w:szCs w:val="22"/>
        </w:rPr>
      </w:pPr>
      <w:r w:rsidRPr="00786A47">
        <w:rPr>
          <w:rFonts w:ascii="Arial" w:hAnsi="Arial" w:cs="Arial"/>
          <w:sz w:val="22"/>
          <w:szCs w:val="22"/>
        </w:rPr>
        <w:t xml:space="preserve">Art. 134. </w:t>
      </w:r>
      <w:r w:rsidRPr="00786A47">
        <w:rPr>
          <w:rFonts w:ascii="Arial" w:hAnsi="Arial" w:cs="Arial"/>
          <w:b/>
          <w:bCs/>
          <w:sz w:val="22"/>
          <w:szCs w:val="22"/>
        </w:rPr>
        <w:t>Fecundación y tráfico de embriones humanos</w:t>
      </w:r>
      <w:r w:rsidRPr="00786A47">
        <w:rPr>
          <w:rFonts w:ascii="Arial" w:hAnsi="Arial" w:cs="Arial"/>
          <w:sz w:val="22"/>
          <w:szCs w:val="22"/>
        </w:rPr>
        <w:t xml:space="preserve">. </w:t>
      </w:r>
    </w:p>
    <w:p w:rsidR="00786A47" w:rsidRPr="00786A47" w:rsidRDefault="00786A47" w:rsidP="00786A47">
      <w:pPr>
        <w:pStyle w:val="Textoindependiente3"/>
        <w:jc w:val="both"/>
        <w:rPr>
          <w:rFonts w:ascii="Arial" w:hAnsi="Arial" w:cs="Arial"/>
          <w:sz w:val="22"/>
          <w:szCs w:val="22"/>
        </w:rPr>
      </w:pPr>
    </w:p>
    <w:p w:rsidR="00786A47" w:rsidRPr="00786A47" w:rsidRDefault="00786A47" w:rsidP="00786A47">
      <w:pPr>
        <w:pStyle w:val="Textoindependiente3"/>
        <w:ind w:left="708"/>
        <w:jc w:val="both"/>
        <w:rPr>
          <w:rFonts w:ascii="Arial" w:eastAsia="Arial Unicode MS" w:hAnsi="Arial" w:cs="Arial"/>
          <w:i/>
          <w:iCs/>
          <w:sz w:val="22"/>
          <w:szCs w:val="22"/>
        </w:rPr>
      </w:pPr>
      <w:r w:rsidRPr="00786A47">
        <w:rPr>
          <w:rFonts w:ascii="Arial" w:hAnsi="Arial" w:cs="Arial"/>
          <w:i/>
          <w:iCs/>
          <w:sz w:val="22"/>
          <w:szCs w:val="22"/>
        </w:rPr>
        <w:t xml:space="preserve">El que fecunde óvulos humanos con finalidad diferente a la procreación humana, sin perjuicio de la investigación científica, tratamiento o diagnóstico que tengan una finalidad terapéutica con respecto al ser humano objeto de la </w:t>
      </w:r>
      <w:r w:rsidR="00985B3B" w:rsidRPr="00786A47">
        <w:rPr>
          <w:rFonts w:ascii="Arial" w:hAnsi="Arial" w:cs="Arial"/>
          <w:i/>
          <w:iCs/>
          <w:sz w:val="22"/>
          <w:szCs w:val="22"/>
        </w:rPr>
        <w:t>investigación, incurrirá</w:t>
      </w:r>
      <w:r w:rsidRPr="00786A47">
        <w:rPr>
          <w:rFonts w:ascii="Arial" w:hAnsi="Arial" w:cs="Arial"/>
          <w:i/>
          <w:iCs/>
          <w:sz w:val="22"/>
          <w:szCs w:val="22"/>
        </w:rPr>
        <w:t xml:space="preserve"> en prisión...</w:t>
      </w:r>
    </w:p>
    <w:p w:rsidR="00786A47" w:rsidRPr="00786A47" w:rsidRDefault="00786A47" w:rsidP="00786A47">
      <w:pPr>
        <w:jc w:val="both"/>
        <w:rPr>
          <w:rFonts w:ascii="Arial" w:hAnsi="Arial" w:cs="Arial"/>
          <w:i/>
          <w:iCs/>
          <w:sz w:val="22"/>
          <w:szCs w:val="22"/>
        </w:rPr>
      </w:pPr>
    </w:p>
    <w:p w:rsidR="00786A47" w:rsidRPr="00786A47" w:rsidRDefault="00786A47" w:rsidP="00786A47">
      <w:pPr>
        <w:jc w:val="both"/>
        <w:rPr>
          <w:rFonts w:ascii="Arial" w:hAnsi="Arial" w:cs="Arial"/>
          <w:sz w:val="22"/>
          <w:szCs w:val="22"/>
          <w:lang w:val="es-MX"/>
        </w:rPr>
      </w:pPr>
      <w:r w:rsidRPr="00786A47">
        <w:rPr>
          <w:rFonts w:ascii="Arial" w:hAnsi="Arial" w:cs="Arial"/>
          <w:sz w:val="22"/>
          <w:szCs w:val="22"/>
          <w:lang w:val="es-MX"/>
        </w:rPr>
        <w:t xml:space="preserve">Artículo 132. </w:t>
      </w:r>
    </w:p>
    <w:p w:rsidR="00786A47" w:rsidRPr="00786A47" w:rsidRDefault="00786A47" w:rsidP="00786A47">
      <w:pPr>
        <w:jc w:val="both"/>
        <w:rPr>
          <w:rFonts w:ascii="Arial" w:hAnsi="Arial" w:cs="Arial"/>
          <w:sz w:val="22"/>
          <w:szCs w:val="22"/>
          <w:lang w:val="es-MX"/>
        </w:rPr>
      </w:pPr>
    </w:p>
    <w:p w:rsidR="00786A47" w:rsidRPr="00786A47" w:rsidRDefault="00786A47" w:rsidP="00786A47">
      <w:pPr>
        <w:ind w:left="708"/>
        <w:jc w:val="both"/>
        <w:rPr>
          <w:rFonts w:ascii="Arial" w:eastAsia="Arial Unicode MS" w:hAnsi="Arial" w:cs="Arial"/>
          <w:sz w:val="22"/>
          <w:szCs w:val="22"/>
          <w:lang w:val="es-MX"/>
        </w:rPr>
      </w:pPr>
      <w:r w:rsidRPr="00786A47">
        <w:rPr>
          <w:rFonts w:ascii="Arial" w:hAnsi="Arial" w:cs="Arial"/>
          <w:i/>
          <w:iCs/>
          <w:sz w:val="22"/>
          <w:szCs w:val="22"/>
          <w:lang w:val="es-MX"/>
        </w:rPr>
        <w:t>Se entiende por tratamiento, diagnóstico, o investigación científica relacionada con ellos en el campo de la biología, la genética y la medicina, cualquiera que se realice con el consentimiento, libre e informado de la persona de la cual proceden los genes, para el descubrimiento, identificación, prevención y tratamiento de enfermedades o discapacidades genéticas o de influencia genética, así como las raras y endémicas que afecten a un número considerable de la población</w:t>
      </w:r>
      <w:r w:rsidRPr="00786A47">
        <w:rPr>
          <w:rFonts w:ascii="Arial" w:hAnsi="Arial" w:cs="Arial"/>
          <w:sz w:val="22"/>
          <w:szCs w:val="22"/>
          <w:lang w:val="es-MX"/>
        </w:rPr>
        <w:t>.</w:t>
      </w:r>
    </w:p>
    <w:p w:rsidR="00786A47" w:rsidRPr="00786A47" w:rsidRDefault="00786A47" w:rsidP="00786A47">
      <w:pPr>
        <w:jc w:val="both"/>
        <w:rPr>
          <w:rFonts w:ascii="Arial" w:hAnsi="Arial" w:cs="Arial"/>
          <w:sz w:val="22"/>
          <w:szCs w:val="22"/>
          <w:lang w:val="es-MX"/>
        </w:rPr>
      </w:pPr>
    </w:p>
    <w:p w:rsidR="00786A47" w:rsidRPr="00786A47" w:rsidRDefault="00786A47" w:rsidP="00786A47">
      <w:pPr>
        <w:pStyle w:val="Ttulo1"/>
        <w:framePr w:wrap="around"/>
        <w:jc w:val="both"/>
        <w:rPr>
          <w:color w:val="auto"/>
          <w:sz w:val="22"/>
          <w:szCs w:val="22"/>
          <w:lang w:val="es-ES_tradnl"/>
        </w:rPr>
      </w:pPr>
      <w:r w:rsidRPr="00786A47">
        <w:rPr>
          <w:color w:val="auto"/>
          <w:sz w:val="22"/>
          <w:szCs w:val="22"/>
          <w:lang w:val="es-ES_tradnl"/>
        </w:rPr>
        <w:t xml:space="preserve">Ahora, desde un punto de vista legal más </w:t>
      </w:r>
      <w:r w:rsidR="00985B3B" w:rsidRPr="00786A47">
        <w:rPr>
          <w:color w:val="auto"/>
          <w:sz w:val="22"/>
          <w:szCs w:val="22"/>
          <w:lang w:val="es-ES_tradnl"/>
        </w:rPr>
        <w:t>puntual se</w:t>
      </w:r>
      <w:r w:rsidRPr="00786A47">
        <w:rPr>
          <w:color w:val="auto"/>
          <w:sz w:val="22"/>
          <w:szCs w:val="22"/>
          <w:lang w:val="es-ES_tradnl"/>
        </w:rPr>
        <w:t xml:space="preserve"> ha regulado por parte del Ministerio de salud en torno a la obligatoriedad de la creación del Comité lo siguiente:</w:t>
      </w:r>
    </w:p>
    <w:p w:rsidR="00786A47" w:rsidRPr="00786A47" w:rsidRDefault="00786A47" w:rsidP="00786A47">
      <w:pPr>
        <w:pStyle w:val="Ttulo1"/>
        <w:framePr w:wrap="around"/>
        <w:jc w:val="both"/>
        <w:rPr>
          <w:color w:val="auto"/>
          <w:sz w:val="22"/>
          <w:szCs w:val="22"/>
          <w:lang w:val="es-ES_tradnl"/>
        </w:rPr>
      </w:pPr>
    </w:p>
    <w:p w:rsidR="00786A47" w:rsidRPr="00786A47" w:rsidRDefault="00786A47" w:rsidP="00786A47">
      <w:pPr>
        <w:pStyle w:val="Ttulo1"/>
        <w:framePr w:hSpace="0" w:wrap="auto" w:vAnchor="margin" w:xAlign="left" w:yAlign="inline"/>
        <w:numPr>
          <w:ilvl w:val="0"/>
          <w:numId w:val="35"/>
        </w:numPr>
        <w:autoSpaceDE/>
        <w:autoSpaceDN/>
        <w:adjustRightInd/>
        <w:jc w:val="both"/>
        <w:rPr>
          <w:b w:val="0"/>
          <w:bCs/>
          <w:color w:val="auto"/>
          <w:sz w:val="22"/>
          <w:szCs w:val="22"/>
          <w:lang w:val="es-ES_tradnl"/>
        </w:rPr>
      </w:pPr>
      <w:r w:rsidRPr="00786A47">
        <w:rPr>
          <w:b w:val="0"/>
          <w:bCs/>
          <w:color w:val="auto"/>
          <w:sz w:val="22"/>
          <w:szCs w:val="22"/>
          <w:lang w:val="es-ES_tradnl"/>
        </w:rPr>
        <w:t xml:space="preserve">Resolución No. 008430 4 de </w:t>
      </w:r>
      <w:r w:rsidR="00985B3B" w:rsidRPr="00786A47">
        <w:rPr>
          <w:b w:val="0"/>
          <w:bCs/>
          <w:color w:val="auto"/>
          <w:sz w:val="22"/>
          <w:szCs w:val="22"/>
          <w:lang w:val="es-ES_tradnl"/>
        </w:rPr>
        <w:t>octubre</w:t>
      </w:r>
      <w:r w:rsidRPr="00786A47">
        <w:rPr>
          <w:b w:val="0"/>
          <w:bCs/>
          <w:color w:val="auto"/>
          <w:sz w:val="22"/>
          <w:szCs w:val="22"/>
          <w:lang w:val="es-ES_tradnl"/>
        </w:rPr>
        <w:t xml:space="preserve"> de 1993 Ministerio de Salud</w:t>
      </w:r>
      <w:r w:rsidRPr="00786A47">
        <w:rPr>
          <w:bCs/>
          <w:color w:val="auto"/>
          <w:sz w:val="22"/>
          <w:szCs w:val="22"/>
          <w:lang w:val="es-ES_tradnl"/>
        </w:rPr>
        <w:t xml:space="preserve"> (Hoy de Protección Social) por la cual se establecen normas científicas, técnicas y administrativas para la investigación en salud.</w:t>
      </w:r>
    </w:p>
    <w:p w:rsidR="00786A47" w:rsidRPr="00786A47" w:rsidRDefault="00786A47" w:rsidP="00786A47">
      <w:pPr>
        <w:jc w:val="both"/>
        <w:rPr>
          <w:rFonts w:ascii="Arial" w:eastAsia="Arial Unicode MS" w:hAnsi="Arial" w:cs="Arial"/>
          <w:sz w:val="22"/>
          <w:szCs w:val="22"/>
          <w:lang w:val="es-ES_tradnl"/>
        </w:rPr>
      </w:pPr>
    </w:p>
    <w:p w:rsidR="00786A47" w:rsidRPr="00786A47" w:rsidRDefault="00786A47" w:rsidP="00786A47">
      <w:pPr>
        <w:jc w:val="both"/>
        <w:rPr>
          <w:rFonts w:ascii="Arial" w:eastAsia="Arial Unicode MS" w:hAnsi="Arial" w:cs="Arial"/>
          <w:sz w:val="22"/>
          <w:szCs w:val="22"/>
          <w:lang w:val="es-ES_tradnl"/>
        </w:rPr>
      </w:pPr>
      <w:r w:rsidRPr="00786A47">
        <w:rPr>
          <w:rFonts w:ascii="Arial" w:eastAsia="Arial Unicode MS" w:hAnsi="Arial" w:cs="Arial"/>
          <w:sz w:val="22"/>
          <w:szCs w:val="22"/>
          <w:lang w:val="es-ES_tradnl"/>
        </w:rPr>
        <w:t>La doctrina ha observado sobre esta regulación lo siguiente:</w:t>
      </w:r>
    </w:p>
    <w:p w:rsidR="00786A47" w:rsidRPr="00786A47" w:rsidRDefault="00786A47" w:rsidP="00786A47">
      <w:pPr>
        <w:jc w:val="both"/>
        <w:rPr>
          <w:rFonts w:ascii="Arial" w:eastAsia="Arial Unicode MS" w:hAnsi="Arial" w:cs="Arial"/>
          <w:sz w:val="22"/>
          <w:szCs w:val="22"/>
          <w:lang w:val="es-ES_tradnl"/>
        </w:rPr>
      </w:pPr>
    </w:p>
    <w:p w:rsidR="00786A47" w:rsidRPr="00786A47" w:rsidRDefault="00786A47" w:rsidP="00786A47">
      <w:pPr>
        <w:autoSpaceDE w:val="0"/>
        <w:autoSpaceDN w:val="0"/>
        <w:adjustRightInd w:val="0"/>
        <w:ind w:left="708"/>
        <w:jc w:val="both"/>
        <w:rPr>
          <w:rFonts w:ascii="Arial" w:eastAsia="Arial Unicode MS" w:hAnsi="Arial" w:cs="Arial"/>
          <w:i/>
          <w:sz w:val="22"/>
          <w:szCs w:val="22"/>
          <w:lang w:val="es-ES_tradnl"/>
        </w:rPr>
      </w:pPr>
      <w:r w:rsidRPr="00786A47">
        <w:rPr>
          <w:rFonts w:ascii="Arial" w:hAnsi="Arial" w:cs="Arial"/>
          <w:i/>
          <w:sz w:val="22"/>
          <w:szCs w:val="22"/>
        </w:rPr>
        <w:t>En Colombia al igual que en otros países latinoamericanos en 1993, se publicaron las normas técnicas y administrativas para la investigación en salud, Resolución 008430 del entonces Ministerio de Salud, en la cual se enuncian algunos principios éticos basados en la Declaración de Helsisnki, pero no contempla la creación, ni funcionamiento, ni la regulación de los comités de ética de investigación en salud, aunque si exige que deben existir en toda institución que realice investigación biomédica. Si bien es cierto que en Colombia no existen guías para la conformación y funcionamiento de los comités, internacionalmente existen estos lineamientos que introducen principios que guían el funcionamiento de un CIEH, y recomiendan quienes pueden ser sus miembros</w:t>
      </w:r>
      <w:r w:rsidRPr="00786A47">
        <w:rPr>
          <w:rStyle w:val="Refdenotaalpie"/>
          <w:rFonts w:ascii="Arial" w:hAnsi="Arial" w:cs="Arial"/>
          <w:i/>
          <w:sz w:val="22"/>
          <w:szCs w:val="22"/>
        </w:rPr>
        <w:footnoteReference w:id="17"/>
      </w:r>
      <w:r w:rsidRPr="00786A47">
        <w:rPr>
          <w:rFonts w:ascii="Arial" w:hAnsi="Arial" w:cs="Arial"/>
          <w:i/>
          <w:sz w:val="22"/>
          <w:szCs w:val="22"/>
        </w:rPr>
        <w:t>.</w:t>
      </w:r>
    </w:p>
    <w:p w:rsidR="00786A47" w:rsidRPr="00786A47" w:rsidRDefault="00786A47" w:rsidP="00786A47">
      <w:pPr>
        <w:jc w:val="both"/>
        <w:rPr>
          <w:rFonts w:ascii="Arial" w:eastAsia="Arial Unicode MS" w:hAnsi="Arial" w:cs="Arial"/>
          <w:sz w:val="22"/>
          <w:szCs w:val="22"/>
          <w:lang w:val="es-ES_tradnl"/>
        </w:rPr>
      </w:pPr>
    </w:p>
    <w:p w:rsidR="00786A47" w:rsidRPr="00786A47" w:rsidRDefault="00786A47" w:rsidP="00786A47">
      <w:pPr>
        <w:pStyle w:val="Textoindependiente3"/>
        <w:jc w:val="both"/>
        <w:rPr>
          <w:rFonts w:ascii="Arial" w:hAnsi="Arial" w:cs="Arial"/>
          <w:sz w:val="22"/>
          <w:szCs w:val="22"/>
        </w:rPr>
      </w:pPr>
      <w:r w:rsidRPr="00786A47">
        <w:rPr>
          <w:rFonts w:ascii="Arial" w:hAnsi="Arial" w:cs="Arial"/>
          <w:sz w:val="22"/>
          <w:szCs w:val="22"/>
        </w:rPr>
        <w:t>Se regula de manera particular en este sentido:</w:t>
      </w:r>
    </w:p>
    <w:p w:rsidR="00786A47" w:rsidRPr="00786A47" w:rsidRDefault="00786A47" w:rsidP="00786A47">
      <w:pPr>
        <w:pStyle w:val="Textoindependiente3"/>
        <w:jc w:val="both"/>
        <w:rPr>
          <w:rFonts w:ascii="Arial" w:hAnsi="Arial" w:cs="Arial"/>
          <w:sz w:val="22"/>
          <w:szCs w:val="22"/>
        </w:rPr>
      </w:pPr>
    </w:p>
    <w:p w:rsidR="00786A47" w:rsidRPr="00786A47" w:rsidRDefault="00786A47" w:rsidP="00786A47">
      <w:pPr>
        <w:pStyle w:val="Textoindependiente3"/>
        <w:jc w:val="both"/>
        <w:rPr>
          <w:rFonts w:ascii="Arial" w:hAnsi="Arial" w:cs="Arial"/>
          <w:sz w:val="22"/>
          <w:szCs w:val="22"/>
        </w:rPr>
      </w:pPr>
      <w:r w:rsidRPr="00786A47">
        <w:rPr>
          <w:rFonts w:ascii="Arial" w:hAnsi="Arial" w:cs="Arial"/>
          <w:sz w:val="22"/>
          <w:szCs w:val="22"/>
        </w:rPr>
        <w:lastRenderedPageBreak/>
        <w:t xml:space="preserve">Art. 2: </w:t>
      </w:r>
    </w:p>
    <w:p w:rsidR="00786A47" w:rsidRPr="00786A47" w:rsidRDefault="00786A47" w:rsidP="00786A47">
      <w:pPr>
        <w:pStyle w:val="Textoindependiente3"/>
        <w:ind w:left="708"/>
        <w:jc w:val="both"/>
        <w:rPr>
          <w:rFonts w:ascii="Arial" w:eastAsia="Arial Unicode MS" w:hAnsi="Arial" w:cs="Arial"/>
          <w:sz w:val="22"/>
          <w:szCs w:val="22"/>
        </w:rPr>
      </w:pPr>
      <w:r w:rsidRPr="00786A47">
        <w:rPr>
          <w:rFonts w:ascii="Arial" w:hAnsi="Arial" w:cs="Arial"/>
          <w:sz w:val="22"/>
          <w:szCs w:val="22"/>
        </w:rPr>
        <w:t>“</w:t>
      </w:r>
      <w:r w:rsidRPr="00786A47">
        <w:rPr>
          <w:rFonts w:ascii="Arial" w:hAnsi="Arial" w:cs="Arial"/>
          <w:i/>
          <w:iCs/>
          <w:sz w:val="22"/>
          <w:szCs w:val="22"/>
        </w:rPr>
        <w:t>Las instituciones que vayan a realizar investigación en humanos, deberán tener un comité de Ética en investigación, encargado de resolver todos los asuntos relacionados con este tema</w:t>
      </w:r>
      <w:r w:rsidRPr="00786A47">
        <w:rPr>
          <w:rFonts w:ascii="Arial" w:hAnsi="Arial" w:cs="Arial"/>
          <w:sz w:val="22"/>
          <w:szCs w:val="22"/>
        </w:rPr>
        <w:t>.”</w:t>
      </w:r>
    </w:p>
    <w:p w:rsidR="00786A47" w:rsidRPr="00786A47" w:rsidRDefault="00786A47" w:rsidP="00786A47">
      <w:pPr>
        <w:jc w:val="both"/>
        <w:rPr>
          <w:rFonts w:ascii="Arial" w:hAnsi="Arial" w:cs="Arial"/>
          <w:b/>
          <w:bCs/>
          <w:sz w:val="22"/>
          <w:szCs w:val="22"/>
        </w:rPr>
      </w:pPr>
    </w:p>
    <w:p w:rsidR="00786A47" w:rsidRPr="00786A47" w:rsidRDefault="00786A47" w:rsidP="00786A47">
      <w:pPr>
        <w:pStyle w:val="Prrafodelista"/>
        <w:numPr>
          <w:ilvl w:val="0"/>
          <w:numId w:val="35"/>
        </w:numPr>
        <w:contextualSpacing/>
        <w:jc w:val="both"/>
        <w:rPr>
          <w:rFonts w:ascii="Arial" w:hAnsi="Arial" w:cs="Arial"/>
          <w:b/>
          <w:bCs/>
          <w:sz w:val="22"/>
          <w:szCs w:val="22"/>
          <w:lang w:val="es-ES_tradnl"/>
        </w:rPr>
      </w:pPr>
      <w:r w:rsidRPr="00786A47">
        <w:rPr>
          <w:rFonts w:ascii="Arial" w:hAnsi="Arial" w:cs="Arial"/>
          <w:sz w:val="22"/>
          <w:szCs w:val="22"/>
          <w:lang w:val="es-ES_tradnl"/>
        </w:rPr>
        <w:t xml:space="preserve"> El mismo Ministerio, desde el año 1991 implementó la obligación de que en los Hospitales existan Comités de Ética</w:t>
      </w:r>
      <w:r w:rsidRPr="00786A47">
        <w:rPr>
          <w:rStyle w:val="Refdenotaalpie"/>
          <w:rFonts w:ascii="Arial" w:hAnsi="Arial" w:cs="Arial"/>
          <w:sz w:val="22"/>
          <w:szCs w:val="22"/>
          <w:lang w:val="es-ES_tradnl"/>
        </w:rPr>
        <w:footnoteReference w:id="18"/>
      </w:r>
      <w:r w:rsidRPr="00786A47">
        <w:rPr>
          <w:rFonts w:ascii="Arial" w:hAnsi="Arial" w:cs="Arial"/>
          <w:sz w:val="22"/>
          <w:szCs w:val="22"/>
          <w:lang w:val="es-ES_tradnl"/>
        </w:rPr>
        <w:t xml:space="preserve"> que fueron regulados mediante la </w:t>
      </w:r>
      <w:r w:rsidRPr="00786A47">
        <w:rPr>
          <w:rFonts w:ascii="Arial" w:hAnsi="Arial" w:cs="Arial"/>
          <w:b/>
          <w:bCs/>
          <w:sz w:val="22"/>
          <w:szCs w:val="22"/>
          <w:lang w:val="es-ES_tradnl"/>
        </w:rPr>
        <w:t xml:space="preserve">Resolución No. 13437 de 1991. </w:t>
      </w:r>
      <w:r w:rsidRPr="00786A47">
        <w:rPr>
          <w:rFonts w:ascii="Arial" w:hAnsi="Arial" w:cs="Arial"/>
          <w:bCs/>
          <w:sz w:val="22"/>
          <w:szCs w:val="22"/>
          <w:lang w:val="es-ES_tradnl"/>
        </w:rPr>
        <w:t>Esta norma contiene además los denominados</w:t>
      </w:r>
      <w:r w:rsidRPr="00786A47">
        <w:rPr>
          <w:rFonts w:ascii="Arial" w:hAnsi="Arial" w:cs="Arial"/>
          <w:b/>
          <w:bCs/>
          <w:sz w:val="22"/>
          <w:szCs w:val="22"/>
          <w:lang w:val="es-ES_tradnl"/>
        </w:rPr>
        <w:t xml:space="preserve"> DERECHOS DEL PACIENTE</w:t>
      </w:r>
      <w:r w:rsidRPr="00786A47">
        <w:rPr>
          <w:rFonts w:ascii="Arial" w:hAnsi="Arial" w:cs="Arial"/>
          <w:bCs/>
          <w:sz w:val="22"/>
          <w:szCs w:val="22"/>
          <w:lang w:val="es-ES_tradnl"/>
        </w:rPr>
        <w:t xml:space="preserve">, lo </w:t>
      </w:r>
      <w:r w:rsidR="00985B3B" w:rsidRPr="00786A47">
        <w:rPr>
          <w:rFonts w:ascii="Arial" w:hAnsi="Arial" w:cs="Arial"/>
          <w:bCs/>
          <w:sz w:val="22"/>
          <w:szCs w:val="22"/>
          <w:lang w:val="es-ES_tradnl"/>
        </w:rPr>
        <w:t>que,</w:t>
      </w:r>
      <w:r w:rsidRPr="00786A47">
        <w:rPr>
          <w:rFonts w:ascii="Arial" w:hAnsi="Arial" w:cs="Arial"/>
          <w:bCs/>
          <w:sz w:val="22"/>
          <w:szCs w:val="22"/>
          <w:lang w:val="es-ES_tradnl"/>
        </w:rPr>
        <w:t xml:space="preserve"> sin lugar a dudas, es un referente obligado de consulta y guía cuando se emprenden investigaciones, razón por la cual deberá consultarse para construir la parte ética de los procesos.</w:t>
      </w:r>
      <w:r w:rsidRPr="00786A47">
        <w:rPr>
          <w:rFonts w:ascii="Arial" w:hAnsi="Arial" w:cs="Arial"/>
          <w:b/>
          <w:bCs/>
          <w:sz w:val="22"/>
          <w:szCs w:val="22"/>
          <w:lang w:val="es-ES_tradnl"/>
        </w:rPr>
        <w:t xml:space="preserve"> </w:t>
      </w:r>
    </w:p>
    <w:p w:rsidR="00786A47" w:rsidRPr="00786A47" w:rsidRDefault="00786A47" w:rsidP="00786A47">
      <w:pPr>
        <w:jc w:val="both"/>
        <w:rPr>
          <w:rFonts w:ascii="Arial" w:hAnsi="Arial" w:cs="Arial"/>
          <w:sz w:val="22"/>
          <w:szCs w:val="22"/>
        </w:rPr>
      </w:pPr>
    </w:p>
    <w:p w:rsidR="00786A47" w:rsidRPr="00786A47" w:rsidRDefault="00786A47" w:rsidP="00786A47">
      <w:pPr>
        <w:pStyle w:val="Textoindependiente"/>
        <w:numPr>
          <w:ilvl w:val="0"/>
          <w:numId w:val="35"/>
        </w:numPr>
        <w:snapToGrid/>
        <w:jc w:val="both"/>
        <w:rPr>
          <w:sz w:val="22"/>
          <w:szCs w:val="22"/>
        </w:rPr>
      </w:pPr>
      <w:r w:rsidRPr="00786A47">
        <w:rPr>
          <w:b/>
          <w:sz w:val="22"/>
          <w:szCs w:val="22"/>
        </w:rPr>
        <w:t>Resolución No. 2379 de 2008</w:t>
      </w:r>
      <w:r w:rsidRPr="00786A47">
        <w:rPr>
          <w:rStyle w:val="Refdenotaalpie"/>
          <w:b/>
          <w:sz w:val="22"/>
          <w:szCs w:val="22"/>
        </w:rPr>
        <w:footnoteReference w:id="19"/>
      </w:r>
      <w:r w:rsidRPr="00786A47">
        <w:rPr>
          <w:b/>
          <w:sz w:val="22"/>
          <w:szCs w:val="22"/>
        </w:rPr>
        <w:t xml:space="preserve"> </w:t>
      </w:r>
      <w:r w:rsidRPr="00786A47">
        <w:rPr>
          <w:sz w:val="22"/>
          <w:szCs w:val="22"/>
        </w:rPr>
        <w:t>por la cual se generan “buenas prácticas clínicas para instituciones que conducen investigaciones con medicamentos en seres humanos”.</w:t>
      </w:r>
    </w:p>
    <w:p w:rsidR="00786A47" w:rsidRPr="00786A47" w:rsidRDefault="00786A47" w:rsidP="00786A47">
      <w:pPr>
        <w:pStyle w:val="Textoindependiente"/>
        <w:numPr>
          <w:ilvl w:val="0"/>
          <w:numId w:val="35"/>
        </w:numPr>
        <w:snapToGrid/>
        <w:jc w:val="both"/>
        <w:rPr>
          <w:b/>
          <w:sz w:val="22"/>
          <w:szCs w:val="22"/>
        </w:rPr>
      </w:pPr>
      <w:r w:rsidRPr="00786A47">
        <w:rPr>
          <w:b/>
          <w:sz w:val="22"/>
          <w:szCs w:val="22"/>
        </w:rPr>
        <w:lastRenderedPageBreak/>
        <w:t>Ley</w:t>
      </w:r>
      <w:r w:rsidRPr="00786A47">
        <w:rPr>
          <w:sz w:val="22"/>
          <w:szCs w:val="22"/>
        </w:rPr>
        <w:t xml:space="preserve"> </w:t>
      </w:r>
      <w:r w:rsidRPr="00786A47">
        <w:rPr>
          <w:b/>
          <w:sz w:val="22"/>
          <w:szCs w:val="22"/>
        </w:rPr>
        <w:t xml:space="preserve">734 de 2010. </w:t>
      </w:r>
      <w:r w:rsidRPr="00786A47">
        <w:rPr>
          <w:sz w:val="22"/>
          <w:szCs w:val="22"/>
        </w:rPr>
        <w:t>Esta norma crea el denominado</w:t>
      </w:r>
      <w:r w:rsidRPr="00786A47">
        <w:rPr>
          <w:b/>
          <w:sz w:val="22"/>
          <w:szCs w:val="22"/>
        </w:rPr>
        <w:t xml:space="preserve"> Consejo Nacional de Bioética.</w:t>
      </w: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sz w:val="22"/>
          <w:szCs w:val="22"/>
        </w:rPr>
        <w:t>ARTICULO 2°. Consejo Nacional de Bioética. Créase el Consejo Nacional de Bioética identificado por la sigla CNB, como organismo asesor y consultivo del Gobierno Nacional, quien propenderá por establecer un diálogo interdisciplinario para formular, articular y resolver los dilemas que plantea la investigación y la intervención sobre la vida, la salud y el medio ambiente, así como la construcción e implementación de políticas en los asuntos referentes a la Bioética.</w:t>
      </w:r>
    </w:p>
    <w:p w:rsidR="00786A47" w:rsidRPr="00786A47" w:rsidRDefault="00786A47" w:rsidP="00786A47">
      <w:pPr>
        <w:autoSpaceDE w:val="0"/>
        <w:autoSpaceDN w:val="0"/>
        <w:adjustRightInd w:val="0"/>
        <w:jc w:val="both"/>
        <w:rPr>
          <w:rFonts w:ascii="Arial" w:hAnsi="Arial" w:cs="Arial"/>
          <w:sz w:val="22"/>
          <w:szCs w:val="22"/>
        </w:rPr>
      </w:pP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sz w:val="22"/>
          <w:szCs w:val="22"/>
        </w:rPr>
        <w:t>Parágrafo. En el desempeño de sus competencias el CNB tendrá los siguientes principios:</w:t>
      </w:r>
    </w:p>
    <w:p w:rsidR="00786A47" w:rsidRPr="00786A47" w:rsidRDefault="00786A47" w:rsidP="00786A47">
      <w:pPr>
        <w:autoSpaceDE w:val="0"/>
        <w:autoSpaceDN w:val="0"/>
        <w:adjustRightInd w:val="0"/>
        <w:jc w:val="both"/>
        <w:rPr>
          <w:rFonts w:ascii="Arial" w:hAnsi="Arial" w:cs="Arial"/>
          <w:sz w:val="22"/>
          <w:szCs w:val="22"/>
        </w:rPr>
      </w:pPr>
    </w:p>
    <w:p w:rsidR="00786A47" w:rsidRPr="00786A47" w:rsidRDefault="00786A47" w:rsidP="00786A47">
      <w:pPr>
        <w:autoSpaceDE w:val="0"/>
        <w:autoSpaceDN w:val="0"/>
        <w:adjustRightInd w:val="0"/>
        <w:ind w:left="708"/>
        <w:jc w:val="both"/>
        <w:rPr>
          <w:rFonts w:ascii="Arial" w:hAnsi="Arial" w:cs="Arial"/>
          <w:i/>
          <w:sz w:val="22"/>
          <w:szCs w:val="22"/>
        </w:rPr>
      </w:pPr>
      <w:r w:rsidRPr="00786A47">
        <w:rPr>
          <w:rFonts w:ascii="Arial" w:hAnsi="Arial" w:cs="Arial"/>
          <w:i/>
          <w:sz w:val="22"/>
          <w:szCs w:val="22"/>
        </w:rPr>
        <w:t>a. La prevalencia, indivisibilidad y la inviolabilidad de los derechos humanos y de las garantías fundamentales, según lo contemplado en la Constitución Política y en los acuerdos internacionales firmados por el país.</w:t>
      </w:r>
    </w:p>
    <w:p w:rsidR="00786A47" w:rsidRPr="00786A47" w:rsidRDefault="00786A47" w:rsidP="00786A47">
      <w:pPr>
        <w:autoSpaceDE w:val="0"/>
        <w:autoSpaceDN w:val="0"/>
        <w:adjustRightInd w:val="0"/>
        <w:ind w:left="708"/>
        <w:jc w:val="both"/>
        <w:rPr>
          <w:rFonts w:ascii="Arial" w:hAnsi="Arial" w:cs="Arial"/>
          <w:i/>
          <w:sz w:val="22"/>
          <w:szCs w:val="22"/>
        </w:rPr>
      </w:pPr>
      <w:r w:rsidRPr="00786A47">
        <w:rPr>
          <w:rFonts w:ascii="Arial" w:hAnsi="Arial" w:cs="Arial"/>
          <w:i/>
          <w:sz w:val="22"/>
          <w:szCs w:val="22"/>
        </w:rPr>
        <w:t>b. La valoración de la dignidad de la persona humana y el respeto por el pluralismo étnico, religioso, de género y cultural.</w:t>
      </w:r>
    </w:p>
    <w:p w:rsidR="00786A47" w:rsidRPr="00786A47" w:rsidRDefault="00786A47" w:rsidP="00786A47">
      <w:pPr>
        <w:autoSpaceDE w:val="0"/>
        <w:autoSpaceDN w:val="0"/>
        <w:adjustRightInd w:val="0"/>
        <w:ind w:left="708"/>
        <w:jc w:val="both"/>
        <w:rPr>
          <w:rFonts w:ascii="Arial" w:hAnsi="Arial" w:cs="Arial"/>
          <w:i/>
          <w:sz w:val="22"/>
          <w:szCs w:val="22"/>
        </w:rPr>
      </w:pPr>
      <w:r w:rsidRPr="00786A47">
        <w:rPr>
          <w:rFonts w:ascii="Arial" w:hAnsi="Arial" w:cs="Arial"/>
          <w:i/>
          <w:sz w:val="22"/>
          <w:szCs w:val="22"/>
        </w:rPr>
        <w:t xml:space="preserve">c. La búsqueda de la erradicación de la pobreza y de la </w:t>
      </w:r>
      <w:r w:rsidR="00985B3B" w:rsidRPr="00786A47">
        <w:rPr>
          <w:rFonts w:ascii="Arial" w:hAnsi="Arial" w:cs="Arial"/>
          <w:i/>
          <w:sz w:val="22"/>
          <w:szCs w:val="22"/>
        </w:rPr>
        <w:t>marginación,</w:t>
      </w:r>
      <w:r w:rsidRPr="00786A47">
        <w:rPr>
          <w:rFonts w:ascii="Arial" w:hAnsi="Arial" w:cs="Arial"/>
          <w:i/>
          <w:sz w:val="22"/>
          <w:szCs w:val="22"/>
        </w:rPr>
        <w:t xml:space="preserve"> así como la reducción de las desigualdades sociales y regionales.</w:t>
      </w:r>
    </w:p>
    <w:p w:rsidR="00786A47" w:rsidRPr="00786A47" w:rsidRDefault="00786A47" w:rsidP="00786A47">
      <w:pPr>
        <w:autoSpaceDE w:val="0"/>
        <w:autoSpaceDN w:val="0"/>
        <w:adjustRightInd w:val="0"/>
        <w:ind w:left="708"/>
        <w:jc w:val="both"/>
        <w:rPr>
          <w:rFonts w:ascii="Arial" w:hAnsi="Arial" w:cs="Arial"/>
          <w:i/>
          <w:sz w:val="22"/>
          <w:szCs w:val="22"/>
        </w:rPr>
      </w:pPr>
      <w:r w:rsidRPr="00786A47">
        <w:rPr>
          <w:rFonts w:ascii="Arial" w:hAnsi="Arial" w:cs="Arial"/>
          <w:i/>
          <w:sz w:val="22"/>
          <w:szCs w:val="22"/>
        </w:rPr>
        <w:t>d. La promoción del bien general, sin perjuicios de origen, raza, sexo, género, color, credo, y edad.</w:t>
      </w:r>
    </w:p>
    <w:p w:rsidR="00786A47" w:rsidRPr="00786A47" w:rsidRDefault="00786A47" w:rsidP="00786A47">
      <w:pPr>
        <w:autoSpaceDE w:val="0"/>
        <w:autoSpaceDN w:val="0"/>
        <w:adjustRightInd w:val="0"/>
        <w:ind w:left="708"/>
        <w:jc w:val="both"/>
        <w:rPr>
          <w:rFonts w:ascii="Arial" w:hAnsi="Arial" w:cs="Arial"/>
          <w:i/>
          <w:sz w:val="22"/>
          <w:szCs w:val="22"/>
        </w:rPr>
      </w:pPr>
      <w:r w:rsidRPr="00786A47">
        <w:rPr>
          <w:rFonts w:ascii="Arial" w:hAnsi="Arial" w:cs="Arial"/>
          <w:i/>
          <w:sz w:val="22"/>
          <w:szCs w:val="22"/>
        </w:rPr>
        <w:t>e. La atención del derecho a un medioambiente equilibrado.</w:t>
      </w:r>
    </w:p>
    <w:p w:rsidR="00786A47" w:rsidRPr="00786A47" w:rsidRDefault="00786A47" w:rsidP="00786A47">
      <w:pPr>
        <w:pStyle w:val="Textoindependiente"/>
        <w:ind w:left="708"/>
        <w:jc w:val="both"/>
        <w:rPr>
          <w:b/>
          <w:bCs w:val="0"/>
          <w:sz w:val="22"/>
          <w:szCs w:val="22"/>
        </w:rPr>
      </w:pPr>
      <w:r w:rsidRPr="00786A47">
        <w:rPr>
          <w:i/>
          <w:sz w:val="22"/>
          <w:szCs w:val="22"/>
        </w:rPr>
        <w:t>f. El carácter aconfesional del Estado Colombiano</w:t>
      </w:r>
    </w:p>
    <w:p w:rsidR="00786A47" w:rsidRPr="00786A47" w:rsidRDefault="00786A47" w:rsidP="00786A47">
      <w:pPr>
        <w:pStyle w:val="Textoindependiente"/>
        <w:jc w:val="both"/>
        <w:rPr>
          <w:b/>
          <w:bCs w:val="0"/>
          <w:sz w:val="22"/>
          <w:szCs w:val="22"/>
        </w:rPr>
      </w:pPr>
    </w:p>
    <w:p w:rsidR="00786A47" w:rsidRPr="00786A47" w:rsidRDefault="00786A47" w:rsidP="00786A47">
      <w:pPr>
        <w:pStyle w:val="Textoindependiente"/>
        <w:jc w:val="both"/>
        <w:rPr>
          <w:b/>
          <w:bCs w:val="0"/>
          <w:sz w:val="22"/>
          <w:szCs w:val="22"/>
        </w:rPr>
      </w:pPr>
      <w:r w:rsidRPr="00786A47">
        <w:rPr>
          <w:b/>
          <w:bCs w:val="0"/>
          <w:sz w:val="22"/>
          <w:szCs w:val="22"/>
        </w:rPr>
        <w:t>Conclusiones:</w:t>
      </w:r>
    </w:p>
    <w:p w:rsidR="00786A47" w:rsidRPr="00786A47" w:rsidRDefault="00786A47" w:rsidP="00786A47">
      <w:pPr>
        <w:pStyle w:val="Textoindependiente"/>
        <w:jc w:val="both"/>
        <w:rPr>
          <w:b/>
          <w:bCs w:val="0"/>
          <w:sz w:val="22"/>
          <w:szCs w:val="22"/>
        </w:rPr>
      </w:pPr>
    </w:p>
    <w:p w:rsidR="00786A47" w:rsidRPr="00786A47" w:rsidRDefault="00786A47" w:rsidP="00786A47">
      <w:pPr>
        <w:pStyle w:val="Textoindependiente"/>
        <w:jc w:val="both"/>
        <w:rPr>
          <w:bCs w:val="0"/>
          <w:sz w:val="22"/>
          <w:szCs w:val="22"/>
        </w:rPr>
      </w:pPr>
      <w:r w:rsidRPr="00786A47">
        <w:rPr>
          <w:bCs w:val="0"/>
          <w:sz w:val="22"/>
          <w:szCs w:val="22"/>
        </w:rPr>
        <w:t>El marco normativo puede resultar extenso, ajeno y un tanto complicado para los investigadores, más acostumbrados a los aspectos científicos, cuantitativos que a la revisión y aplicación de normas de todo orden: internacional, nacional, penal, civil, etc.</w:t>
      </w:r>
    </w:p>
    <w:p w:rsidR="00786A47" w:rsidRPr="00786A47" w:rsidRDefault="00786A47" w:rsidP="00786A47">
      <w:pPr>
        <w:pStyle w:val="Textoindependiente"/>
        <w:jc w:val="both"/>
        <w:rPr>
          <w:bCs w:val="0"/>
          <w:sz w:val="22"/>
          <w:szCs w:val="22"/>
        </w:rPr>
      </w:pPr>
    </w:p>
    <w:p w:rsidR="00786A47" w:rsidRPr="00786A47" w:rsidRDefault="00786A47" w:rsidP="00786A47">
      <w:pPr>
        <w:pStyle w:val="Textoindependiente"/>
        <w:jc w:val="both"/>
        <w:rPr>
          <w:bCs w:val="0"/>
          <w:sz w:val="22"/>
          <w:szCs w:val="22"/>
        </w:rPr>
      </w:pPr>
      <w:r w:rsidRPr="00786A47">
        <w:rPr>
          <w:bCs w:val="0"/>
          <w:sz w:val="22"/>
          <w:szCs w:val="22"/>
        </w:rPr>
        <w:t xml:space="preserve">Este material, no tiene una pretensión distinta a la </w:t>
      </w:r>
      <w:r w:rsidR="00985B3B" w:rsidRPr="00786A47">
        <w:rPr>
          <w:bCs w:val="0"/>
          <w:sz w:val="22"/>
          <w:szCs w:val="22"/>
        </w:rPr>
        <w:t>de buscar</w:t>
      </w:r>
      <w:r w:rsidRPr="00786A47">
        <w:rPr>
          <w:bCs w:val="0"/>
          <w:sz w:val="22"/>
          <w:szCs w:val="22"/>
        </w:rPr>
        <w:t xml:space="preserve"> que el investigador tenga facilidad para su consulta y aplicación en los procesos que inicie en el marco del sistema de investigaciones de la Vicerrectoría.</w:t>
      </w:r>
    </w:p>
    <w:p w:rsidR="00786A47" w:rsidRPr="00786A47" w:rsidRDefault="00786A47" w:rsidP="00786A47">
      <w:pPr>
        <w:pStyle w:val="Textoindependiente"/>
        <w:jc w:val="both"/>
        <w:rPr>
          <w:bCs w:val="0"/>
          <w:sz w:val="22"/>
          <w:szCs w:val="22"/>
        </w:rPr>
      </w:pPr>
    </w:p>
    <w:p w:rsidR="00786A47" w:rsidRPr="00786A47" w:rsidRDefault="00786A47" w:rsidP="00786A47">
      <w:pPr>
        <w:pStyle w:val="Textoindependiente"/>
        <w:jc w:val="both"/>
        <w:rPr>
          <w:bCs w:val="0"/>
          <w:sz w:val="22"/>
          <w:szCs w:val="22"/>
        </w:rPr>
      </w:pPr>
      <w:r w:rsidRPr="00786A47">
        <w:rPr>
          <w:bCs w:val="0"/>
          <w:sz w:val="22"/>
          <w:szCs w:val="22"/>
        </w:rPr>
        <w:t>Definitivamente la Universidad no puede ser ajena a procesos tan importantes como los que se plantean a nivel internacional referente al respeto de figuras de la bioética como el consentimiento informado, el secreto profesional, la autonomía de los seres humanos, el respeto por la información genética del individuo sujeto de investigación, etc.</w:t>
      </w:r>
    </w:p>
    <w:p w:rsidR="00786A47" w:rsidRPr="00786A47" w:rsidRDefault="00786A47" w:rsidP="00786A47">
      <w:pPr>
        <w:pStyle w:val="Textoindependiente"/>
        <w:jc w:val="both"/>
        <w:rPr>
          <w:bCs w:val="0"/>
          <w:sz w:val="22"/>
          <w:szCs w:val="22"/>
        </w:rPr>
      </w:pPr>
    </w:p>
    <w:p w:rsidR="00786A47" w:rsidRPr="00786A47" w:rsidRDefault="00786A47" w:rsidP="00786A47">
      <w:pPr>
        <w:pStyle w:val="Textoindependiente"/>
        <w:jc w:val="both"/>
        <w:rPr>
          <w:bCs w:val="0"/>
          <w:sz w:val="22"/>
          <w:szCs w:val="22"/>
        </w:rPr>
      </w:pPr>
      <w:r w:rsidRPr="00786A47">
        <w:rPr>
          <w:bCs w:val="0"/>
          <w:sz w:val="22"/>
          <w:szCs w:val="22"/>
        </w:rPr>
        <w:t xml:space="preserve">No es ni siquiera admisible el seguir soslayando la aplicación de estas regulaciones. Por el </w:t>
      </w:r>
      <w:r w:rsidR="00985B3B" w:rsidRPr="00786A47">
        <w:rPr>
          <w:bCs w:val="0"/>
          <w:sz w:val="22"/>
          <w:szCs w:val="22"/>
        </w:rPr>
        <w:t>contrario,</w:t>
      </w:r>
      <w:r w:rsidRPr="00786A47">
        <w:rPr>
          <w:bCs w:val="0"/>
          <w:sz w:val="22"/>
          <w:szCs w:val="22"/>
        </w:rPr>
        <w:t xml:space="preserve"> cada vez más se perciben como obligatorias, </w:t>
      </w:r>
      <w:r w:rsidR="00985B3B" w:rsidRPr="00786A47">
        <w:rPr>
          <w:bCs w:val="0"/>
          <w:sz w:val="22"/>
          <w:szCs w:val="22"/>
        </w:rPr>
        <w:t>pero,</w:t>
      </w:r>
      <w:r w:rsidRPr="00786A47">
        <w:rPr>
          <w:bCs w:val="0"/>
          <w:sz w:val="22"/>
          <w:szCs w:val="22"/>
        </w:rPr>
        <w:t xml:space="preserve"> ante todo, necesarias para adelantar una investigación acorde con los nuevos parámetros que las naciones han creado para poner unos límites ciertos a las fronteras del conocimiento actual.</w:t>
      </w:r>
    </w:p>
    <w:p w:rsidR="00786A47" w:rsidRPr="00786A47" w:rsidRDefault="00786A47" w:rsidP="00786A47">
      <w:pPr>
        <w:pStyle w:val="Textoindependiente"/>
        <w:jc w:val="both"/>
        <w:rPr>
          <w:bCs w:val="0"/>
          <w:sz w:val="22"/>
          <w:szCs w:val="22"/>
        </w:rPr>
      </w:pPr>
    </w:p>
    <w:p w:rsidR="00786A47" w:rsidRPr="00786A47" w:rsidRDefault="00786A47" w:rsidP="00786A47">
      <w:pPr>
        <w:pStyle w:val="Textoindependiente"/>
        <w:jc w:val="both"/>
        <w:rPr>
          <w:bCs w:val="0"/>
          <w:sz w:val="22"/>
          <w:szCs w:val="22"/>
        </w:rPr>
      </w:pPr>
      <w:r w:rsidRPr="00786A47">
        <w:rPr>
          <w:bCs w:val="0"/>
          <w:sz w:val="22"/>
          <w:szCs w:val="22"/>
        </w:rPr>
        <w:lastRenderedPageBreak/>
        <w:t>Si algo nos dejó claro el holocausto Nazi es precisamente que el avance de la tecnología y de los conocimientos que el ser humano adquiere en su incesante curiosidad, no pueden ser alcanzados a cualquier precio. Existen muros generados por la dignidad del ser humano que no pueden ser derribados con el pretexto del avance de la humanidad hacia mejores conocimientos.</w:t>
      </w:r>
    </w:p>
    <w:p w:rsidR="00786A47" w:rsidRPr="00786A47" w:rsidRDefault="00786A47" w:rsidP="00786A47">
      <w:pPr>
        <w:pStyle w:val="Textoindependiente"/>
        <w:jc w:val="both"/>
        <w:rPr>
          <w:b/>
          <w:sz w:val="22"/>
          <w:szCs w:val="22"/>
        </w:rPr>
      </w:pPr>
    </w:p>
    <w:p w:rsidR="00786A47" w:rsidRPr="00786A47" w:rsidRDefault="00786A47" w:rsidP="00786A47">
      <w:pPr>
        <w:pStyle w:val="Textoindependiente"/>
        <w:jc w:val="both"/>
        <w:rPr>
          <w:sz w:val="22"/>
          <w:szCs w:val="22"/>
        </w:rPr>
      </w:pPr>
      <w:r w:rsidRPr="00786A47">
        <w:rPr>
          <w:b/>
          <w:sz w:val="22"/>
          <w:szCs w:val="22"/>
        </w:rPr>
        <w:t>A modo de glosario</w:t>
      </w:r>
      <w:r w:rsidRPr="00786A47">
        <w:rPr>
          <w:rStyle w:val="Refdenotaalpie"/>
          <w:sz w:val="22"/>
          <w:szCs w:val="22"/>
        </w:rPr>
        <w:footnoteReference w:id="20"/>
      </w:r>
      <w:r w:rsidRPr="00786A47">
        <w:rPr>
          <w:sz w:val="22"/>
          <w:szCs w:val="22"/>
        </w:rPr>
        <w:t>:</w:t>
      </w:r>
    </w:p>
    <w:p w:rsidR="00786A47" w:rsidRPr="00786A47" w:rsidRDefault="00786A47" w:rsidP="00786A47">
      <w:pPr>
        <w:pStyle w:val="Textoindependiente"/>
        <w:jc w:val="both"/>
        <w:rPr>
          <w:sz w:val="22"/>
          <w:szCs w:val="22"/>
        </w:rPr>
      </w:pPr>
    </w:p>
    <w:tbl>
      <w:tblPr>
        <w:tblW w:w="5058"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37"/>
        <w:gridCol w:w="2182"/>
        <w:gridCol w:w="4701"/>
      </w:tblGrid>
      <w:tr w:rsidR="00786A47" w:rsidRPr="00786A47" w:rsidTr="00985B3B">
        <w:tc>
          <w:tcPr>
            <w:tcW w:w="1142" w:type="pct"/>
            <w:shd w:val="clear" w:color="auto" w:fill="8DB3E2"/>
          </w:tcPr>
          <w:p w:rsidR="00786A47" w:rsidRPr="00786A47" w:rsidRDefault="00786A47" w:rsidP="00786A47">
            <w:pPr>
              <w:jc w:val="both"/>
              <w:rPr>
                <w:rFonts w:ascii="Arial" w:hAnsi="Arial" w:cs="Arial"/>
                <w:b/>
                <w:bCs/>
                <w:sz w:val="22"/>
                <w:szCs w:val="22"/>
              </w:rPr>
            </w:pPr>
            <w:r w:rsidRPr="00786A47">
              <w:rPr>
                <w:rFonts w:ascii="Arial" w:hAnsi="Arial" w:cs="Arial"/>
                <w:b/>
                <w:bCs/>
                <w:sz w:val="22"/>
                <w:szCs w:val="22"/>
              </w:rPr>
              <w:t>PALABRA</w:t>
            </w:r>
          </w:p>
        </w:tc>
        <w:tc>
          <w:tcPr>
            <w:tcW w:w="1223" w:type="pct"/>
            <w:shd w:val="clear" w:color="auto" w:fill="8DB3E2"/>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SENTENCIA U AUTOR</w:t>
            </w:r>
          </w:p>
        </w:tc>
        <w:tc>
          <w:tcPr>
            <w:tcW w:w="2635" w:type="pct"/>
            <w:shd w:val="clear" w:color="auto" w:fill="8DB3E2"/>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SIGNIFICADO</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AUTONOMÍA</w:t>
            </w:r>
          </w:p>
        </w:tc>
        <w:tc>
          <w:tcPr>
            <w:tcW w:w="1223" w:type="pct"/>
            <w:vAlign w:val="center"/>
          </w:tcPr>
          <w:p w:rsidR="00786A47" w:rsidRPr="00786A47" w:rsidRDefault="00786A47" w:rsidP="00786A47">
            <w:pPr>
              <w:jc w:val="both"/>
              <w:rPr>
                <w:rFonts w:ascii="Arial" w:hAnsi="Arial" w:cs="Arial"/>
                <w:sz w:val="22"/>
                <w:szCs w:val="22"/>
              </w:rPr>
            </w:pPr>
            <w:r w:rsidRPr="00786A47">
              <w:rPr>
                <w:rFonts w:ascii="Arial" w:hAnsi="Arial" w:cs="Arial"/>
                <w:sz w:val="22"/>
                <w:szCs w:val="22"/>
                <w:lang w:eastAsia="es-CO"/>
              </w:rPr>
              <w:t>Rafael Torres Acosta, 2001</w:t>
            </w: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Deriva del reconocimiento de la dignidad, la inviolabilidad y la libertad de todas las personas, s</w:t>
            </w:r>
            <w:r w:rsidRPr="00786A47">
              <w:rPr>
                <w:rStyle w:val="apple-style-span"/>
                <w:rFonts w:ascii="Arial" w:hAnsi="Arial" w:cs="Arial"/>
                <w:sz w:val="22"/>
                <w:szCs w:val="22"/>
              </w:rPr>
              <w:t>egún éste, el paciente debe directamente consentir el tratamiento médico para que éste sea constitucionalmente legítimo.</w:t>
            </w:r>
            <w:r w:rsidRPr="00786A47">
              <w:rPr>
                <w:rFonts w:ascii="Arial" w:hAnsi="Arial" w:cs="Arial"/>
                <w:sz w:val="22"/>
                <w:szCs w:val="22"/>
              </w:rPr>
              <w:t xml:space="preserve"> La capacidad para determinar el curso de acción por uno mismo. </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BENEFICENCIA</w:t>
            </w:r>
          </w:p>
        </w:tc>
        <w:tc>
          <w:tcPr>
            <w:tcW w:w="1223" w:type="pct"/>
            <w:vAlign w:val="center"/>
          </w:tcPr>
          <w:p w:rsidR="00786A47" w:rsidRPr="00786A47" w:rsidRDefault="00786A47" w:rsidP="00786A47">
            <w:pPr>
              <w:jc w:val="both"/>
              <w:rPr>
                <w:rFonts w:ascii="Arial" w:hAnsi="Arial" w:cs="Arial"/>
                <w:sz w:val="22"/>
                <w:szCs w:val="22"/>
              </w:rPr>
            </w:pPr>
            <w:r w:rsidRPr="00786A47">
              <w:rPr>
                <w:rFonts w:ascii="Arial" w:hAnsi="Arial" w:cs="Arial"/>
                <w:sz w:val="22"/>
                <w:szCs w:val="22"/>
              </w:rPr>
              <w:t>Sentencia SU 337-99</w:t>
            </w: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Promover el bienestar o el mejor interés de un individuo. Hacer el bien o ayudar a otro. En medicina, ayudar al paciente.</w:t>
            </w:r>
          </w:p>
        </w:tc>
      </w:tr>
      <w:tr w:rsidR="00786A47" w:rsidRPr="00786A47" w:rsidTr="00985B3B">
        <w:trPr>
          <w:trHeight w:val="1959"/>
        </w:trPr>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BIOETICA</w:t>
            </w:r>
          </w:p>
        </w:tc>
        <w:tc>
          <w:tcPr>
            <w:tcW w:w="1223" w:type="pct"/>
            <w:vAlign w:val="center"/>
          </w:tcPr>
          <w:p w:rsidR="00786A47" w:rsidRPr="00786A47" w:rsidRDefault="00786A47" w:rsidP="00786A47">
            <w:pPr>
              <w:jc w:val="both"/>
              <w:rPr>
                <w:rFonts w:ascii="Arial" w:hAnsi="Arial" w:cs="Arial"/>
                <w:sz w:val="22"/>
                <w:szCs w:val="22"/>
              </w:rPr>
            </w:pPr>
            <w:r w:rsidRPr="00786A47">
              <w:rPr>
                <w:rFonts w:ascii="Arial" w:hAnsi="Arial" w:cs="Arial"/>
                <w:sz w:val="22"/>
                <w:szCs w:val="22"/>
              </w:rPr>
              <w:t>Sentencia SU 337-99</w:t>
            </w: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 xml:space="preserve">Término acuñado en 1971 por el oncólogo Van Rensselaer Potter en su </w:t>
            </w:r>
            <w:r w:rsidR="00985B3B" w:rsidRPr="00786A47">
              <w:rPr>
                <w:rFonts w:ascii="Arial" w:hAnsi="Arial" w:cs="Arial"/>
                <w:sz w:val="22"/>
                <w:szCs w:val="22"/>
              </w:rPr>
              <w:t>libro «</w:t>
            </w:r>
            <w:r w:rsidRPr="00786A47">
              <w:rPr>
                <w:rFonts w:ascii="Arial" w:hAnsi="Arial" w:cs="Arial"/>
                <w:sz w:val="22"/>
                <w:szCs w:val="22"/>
              </w:rPr>
              <w:t>Bioethics: a bridge to the future</w:t>
            </w:r>
            <w:r w:rsidR="00985B3B" w:rsidRPr="00786A47">
              <w:rPr>
                <w:rFonts w:ascii="Arial" w:hAnsi="Arial" w:cs="Arial"/>
                <w:sz w:val="22"/>
                <w:szCs w:val="22"/>
              </w:rPr>
              <w:t>», para</w:t>
            </w:r>
            <w:r w:rsidRPr="00786A47">
              <w:rPr>
                <w:rFonts w:ascii="Arial" w:hAnsi="Arial" w:cs="Arial"/>
                <w:sz w:val="22"/>
                <w:szCs w:val="22"/>
              </w:rPr>
              <w:t xml:space="preserve"> determinar la reflexión moral sobre el conjunto de las ciencias biológicas que sirven para mejorar la calidad de vida. </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BIOETICISTA</w:t>
            </w:r>
          </w:p>
        </w:tc>
        <w:tc>
          <w:tcPr>
            <w:tcW w:w="1223" w:type="pct"/>
            <w:vAlign w:val="center"/>
          </w:tcPr>
          <w:p w:rsidR="00786A47" w:rsidRPr="00786A47" w:rsidRDefault="00786A47" w:rsidP="00786A47">
            <w:pPr>
              <w:jc w:val="both"/>
              <w:rPr>
                <w:rFonts w:ascii="Arial" w:hAnsi="Arial" w:cs="Arial"/>
                <w:sz w:val="22"/>
                <w:szCs w:val="22"/>
              </w:rPr>
            </w:pPr>
            <w:r w:rsidRPr="00786A47">
              <w:rPr>
                <w:rFonts w:ascii="Arial" w:hAnsi="Arial" w:cs="Arial"/>
                <w:sz w:val="22"/>
                <w:szCs w:val="22"/>
              </w:rPr>
              <w:t>Sentencia SU 337-99</w:t>
            </w: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Una persona que cuenta con el entrenamiento, el conocimiento y la habilidad necesaria para orientar y abrir perspectivas en relación con la aplicación de la teoría ética al cuidado de la salud</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CÓDIGO DE ÉTICA PROFESIONAL</w:t>
            </w:r>
          </w:p>
        </w:tc>
        <w:tc>
          <w:tcPr>
            <w:tcW w:w="1223" w:type="pct"/>
            <w:vAlign w:val="center"/>
          </w:tcPr>
          <w:p w:rsidR="00786A47" w:rsidRPr="00786A47" w:rsidRDefault="00786A47" w:rsidP="00786A47">
            <w:pPr>
              <w:jc w:val="both"/>
              <w:rPr>
                <w:rFonts w:ascii="Arial" w:hAnsi="Arial" w:cs="Arial"/>
                <w:sz w:val="22"/>
                <w:szCs w:val="22"/>
              </w:rPr>
            </w:pPr>
            <w:r w:rsidRPr="00786A47">
              <w:rPr>
                <w:rFonts w:ascii="Arial" w:hAnsi="Arial" w:cs="Arial"/>
                <w:sz w:val="22"/>
                <w:szCs w:val="22"/>
              </w:rPr>
              <w:t>Sentencia SU 337-99</w:t>
            </w: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Especialmente en el caso de la medicina, siempre ha reglamentado las relaciones entre los expertos y los profanos, pero además las relaciones de los expertos entre sí y con otros expertos.</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COMITÉS DE ÉTICA</w:t>
            </w:r>
          </w:p>
        </w:tc>
        <w:tc>
          <w:tcPr>
            <w:tcW w:w="1223" w:type="pct"/>
            <w:vAlign w:val="center"/>
          </w:tcPr>
          <w:p w:rsidR="00786A47" w:rsidRPr="00786A47" w:rsidRDefault="00786A47" w:rsidP="00786A47">
            <w:pPr>
              <w:jc w:val="both"/>
              <w:rPr>
                <w:rFonts w:ascii="Arial" w:hAnsi="Arial" w:cs="Arial"/>
                <w:sz w:val="22"/>
                <w:szCs w:val="22"/>
              </w:rPr>
            </w:pP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 xml:space="preserve">Instituciones de carácter consultivo que agrupan a científicos, médicos, personal sanitario, juristas y personas ajenas al ejercicio de la medicina (por ejemplo, filósofos, </w:t>
            </w:r>
            <w:r w:rsidRPr="00786A47">
              <w:rPr>
                <w:rFonts w:ascii="Arial" w:hAnsi="Arial" w:cs="Arial"/>
                <w:sz w:val="22"/>
                <w:szCs w:val="22"/>
              </w:rPr>
              <w:lastRenderedPageBreak/>
              <w:t>teólogos, etc.). Cumplen diversas funciones; las educativa, consultiva y normativa.</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lastRenderedPageBreak/>
              <w:t>COMITÉ DE INVESTIGACIÓN</w:t>
            </w:r>
          </w:p>
        </w:tc>
        <w:tc>
          <w:tcPr>
            <w:tcW w:w="1223" w:type="pct"/>
            <w:vAlign w:val="center"/>
          </w:tcPr>
          <w:p w:rsidR="00786A47" w:rsidRPr="00786A47" w:rsidRDefault="00786A47" w:rsidP="00786A47">
            <w:pPr>
              <w:jc w:val="both"/>
              <w:rPr>
                <w:rFonts w:ascii="Arial" w:hAnsi="Arial" w:cs="Arial"/>
                <w:sz w:val="22"/>
                <w:szCs w:val="22"/>
              </w:rPr>
            </w:pP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En una  institución dedicada a la ciencia  y la tecnología, supervisa que se empleen procedimientos adecuados para que las personas adopten el carácter de "voluntarias" sabiendo que se trata, asumiendo los riesgos y beneficios eventuales, velando por el respeto a la confidencialidad ya la dignidad humana.</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COMPETENCIA / CAPACIDAD</w:t>
            </w:r>
          </w:p>
        </w:tc>
        <w:tc>
          <w:tcPr>
            <w:tcW w:w="1223" w:type="pct"/>
            <w:vAlign w:val="center"/>
          </w:tcPr>
          <w:p w:rsidR="00786A47" w:rsidRPr="00786A47" w:rsidRDefault="00786A47" w:rsidP="00786A47">
            <w:pPr>
              <w:jc w:val="both"/>
              <w:rPr>
                <w:rFonts w:ascii="Arial" w:hAnsi="Arial" w:cs="Arial"/>
                <w:sz w:val="22"/>
                <w:szCs w:val="22"/>
              </w:rPr>
            </w:pP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 xml:space="preserve">La habilidad de comprender las elecciones terapéuticas, apreciar las consecuencias de las diversas </w:t>
            </w:r>
            <w:r w:rsidR="00985B3B" w:rsidRPr="00786A47">
              <w:rPr>
                <w:rFonts w:ascii="Arial" w:hAnsi="Arial" w:cs="Arial"/>
                <w:sz w:val="22"/>
                <w:szCs w:val="22"/>
              </w:rPr>
              <w:t>opciones y</w:t>
            </w:r>
            <w:r w:rsidRPr="00786A47">
              <w:rPr>
                <w:rFonts w:ascii="Arial" w:hAnsi="Arial" w:cs="Arial"/>
                <w:sz w:val="22"/>
                <w:szCs w:val="22"/>
              </w:rPr>
              <w:t xml:space="preserve"> </w:t>
            </w:r>
            <w:r w:rsidR="00985B3B" w:rsidRPr="00786A47">
              <w:rPr>
                <w:rFonts w:ascii="Arial" w:hAnsi="Arial" w:cs="Arial"/>
                <w:sz w:val="22"/>
                <w:szCs w:val="22"/>
              </w:rPr>
              <w:t>hacer y</w:t>
            </w:r>
            <w:r w:rsidRPr="00786A47">
              <w:rPr>
                <w:rFonts w:ascii="Arial" w:hAnsi="Arial" w:cs="Arial"/>
                <w:sz w:val="22"/>
                <w:szCs w:val="22"/>
              </w:rPr>
              <w:t xml:space="preserve"> formular una elección. </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CONFIDENCIALIDAD</w:t>
            </w:r>
          </w:p>
        </w:tc>
        <w:tc>
          <w:tcPr>
            <w:tcW w:w="1223" w:type="pct"/>
            <w:vAlign w:val="center"/>
          </w:tcPr>
          <w:p w:rsidR="00786A47" w:rsidRPr="00786A47" w:rsidRDefault="00786A47" w:rsidP="00786A47">
            <w:pPr>
              <w:jc w:val="both"/>
              <w:rPr>
                <w:rFonts w:ascii="Arial" w:hAnsi="Arial" w:cs="Arial"/>
                <w:sz w:val="22"/>
                <w:szCs w:val="22"/>
              </w:rPr>
            </w:pPr>
            <w:r w:rsidRPr="00786A47">
              <w:rPr>
                <w:rFonts w:ascii="Arial" w:hAnsi="Arial" w:cs="Arial"/>
                <w:sz w:val="22"/>
                <w:szCs w:val="22"/>
                <w:lang w:eastAsia="es-CO"/>
              </w:rPr>
              <w:t>Rafael Torres Acosta, 2001.</w:t>
            </w:r>
          </w:p>
        </w:tc>
        <w:tc>
          <w:tcPr>
            <w:tcW w:w="2635" w:type="pct"/>
          </w:tcPr>
          <w:p w:rsidR="00786A47" w:rsidRPr="00786A47" w:rsidRDefault="00786A47" w:rsidP="00786A47">
            <w:pPr>
              <w:jc w:val="both"/>
              <w:rPr>
                <w:rFonts w:ascii="Arial" w:eastAsia="Calibri" w:hAnsi="Arial" w:cs="Arial"/>
                <w:sz w:val="22"/>
                <w:szCs w:val="22"/>
              </w:rPr>
            </w:pPr>
            <w:r w:rsidRPr="00786A47">
              <w:rPr>
                <w:rFonts w:ascii="Arial" w:hAnsi="Arial" w:cs="Arial"/>
                <w:sz w:val="22"/>
                <w:szCs w:val="22"/>
              </w:rPr>
              <w:t xml:space="preserve">Mantener en secreto la información suministrada por el paciente. En el compromiso de confidencialidad típicamente encontrado en el código de ética profesional, el médico contrae la obligación de no </w:t>
            </w:r>
            <w:r w:rsidR="00985B3B" w:rsidRPr="00786A47">
              <w:rPr>
                <w:rFonts w:ascii="Arial" w:hAnsi="Arial" w:cs="Arial"/>
                <w:sz w:val="22"/>
                <w:szCs w:val="22"/>
              </w:rPr>
              <w:t>revelar información</w:t>
            </w:r>
            <w:r w:rsidRPr="00786A47">
              <w:rPr>
                <w:rFonts w:ascii="Arial" w:hAnsi="Arial" w:cs="Arial"/>
                <w:sz w:val="22"/>
                <w:szCs w:val="22"/>
              </w:rPr>
              <w:t xml:space="preserve"> sobre un paciente o cliente sin su consentimiento. Como requisito para el aval </w:t>
            </w:r>
            <w:r w:rsidR="00985B3B" w:rsidRPr="00786A47">
              <w:rPr>
                <w:rFonts w:ascii="Arial" w:hAnsi="Arial" w:cs="Arial"/>
                <w:sz w:val="22"/>
                <w:szCs w:val="22"/>
              </w:rPr>
              <w:t>ético deben</w:t>
            </w:r>
            <w:r w:rsidRPr="00786A47">
              <w:rPr>
                <w:rFonts w:ascii="Arial" w:hAnsi="Arial" w:cs="Arial"/>
                <w:sz w:val="22"/>
                <w:szCs w:val="22"/>
              </w:rPr>
              <w:t xml:space="preserve"> relacionarse los pasos para proteger y asegurar la confidencialidad de la información (codificación, almacenamiento, acceso a la información obtenida, etc.)</w:t>
            </w:r>
            <w:r w:rsidRPr="00786A47">
              <w:rPr>
                <w:rFonts w:ascii="Arial" w:eastAsia="Calibri" w:hAnsi="Arial" w:cs="Arial"/>
                <w:sz w:val="22"/>
                <w:szCs w:val="22"/>
              </w:rPr>
              <w:t xml:space="preserve">. </w:t>
            </w:r>
          </w:p>
          <w:p w:rsidR="00786A47" w:rsidRPr="00786A47" w:rsidRDefault="00786A47" w:rsidP="00786A47">
            <w:pPr>
              <w:jc w:val="both"/>
              <w:rPr>
                <w:rFonts w:ascii="Arial" w:hAnsi="Arial" w:cs="Arial"/>
                <w:sz w:val="22"/>
                <w:szCs w:val="22"/>
              </w:rPr>
            </w:pP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CONSENTIMIENTO</w:t>
            </w:r>
          </w:p>
        </w:tc>
        <w:tc>
          <w:tcPr>
            <w:tcW w:w="1223" w:type="pct"/>
            <w:vAlign w:val="center"/>
          </w:tcPr>
          <w:p w:rsidR="00786A47" w:rsidRPr="00786A47" w:rsidRDefault="00786A47" w:rsidP="00786A47">
            <w:pPr>
              <w:jc w:val="both"/>
              <w:rPr>
                <w:rFonts w:ascii="Arial" w:hAnsi="Arial" w:cs="Arial"/>
                <w:sz w:val="22"/>
                <w:szCs w:val="22"/>
              </w:rPr>
            </w:pP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 xml:space="preserve">Un acto mediante el cual una persona está de acuerdo en permitir algo. El consentimiento para intervenciones médicas debe proporcionarlo un paciente competente que actúe en forma libre y con conocimiento de causa. </w:t>
            </w:r>
          </w:p>
        </w:tc>
      </w:tr>
      <w:tr w:rsidR="00786A47" w:rsidRPr="00786A47" w:rsidTr="00985B3B">
        <w:trPr>
          <w:trHeight w:val="1930"/>
        </w:trPr>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CONSENTIMIENTO INFORMADO</w:t>
            </w:r>
          </w:p>
        </w:tc>
        <w:tc>
          <w:tcPr>
            <w:tcW w:w="1223" w:type="pct"/>
            <w:vAlign w:val="center"/>
          </w:tcPr>
          <w:p w:rsidR="00786A47" w:rsidRPr="00786A47" w:rsidRDefault="00786A47" w:rsidP="00786A47">
            <w:pPr>
              <w:jc w:val="both"/>
              <w:rPr>
                <w:rFonts w:ascii="Arial" w:hAnsi="Arial" w:cs="Arial"/>
                <w:sz w:val="22"/>
                <w:szCs w:val="22"/>
              </w:rPr>
            </w:pPr>
            <w:r w:rsidRPr="00786A47">
              <w:rPr>
                <w:rFonts w:ascii="Arial" w:hAnsi="Arial" w:cs="Arial"/>
                <w:sz w:val="22"/>
                <w:szCs w:val="22"/>
              </w:rPr>
              <w:t>Sentencia SU 337-99</w:t>
            </w: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 xml:space="preserve">La elección que realiza un adulto particular, de aceptar tratamiento médico o participar como sujeto en una investigación. Para ser ética y legalmente válido, el consentimiento debe estar exento de violencia y basarse en información adecuada sobre los riesgos y beneficios del tratamiento, al igual que sobre las opciones disponibles. Además, el individuo que proporciona el consentimiento debe tener la capacidad de comprender la información y hacer una elección libre. </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CONSENTIMIENTO SUSTITUTO</w:t>
            </w:r>
          </w:p>
        </w:tc>
        <w:tc>
          <w:tcPr>
            <w:tcW w:w="1223" w:type="pct"/>
            <w:vAlign w:val="center"/>
          </w:tcPr>
          <w:p w:rsidR="00786A47" w:rsidRPr="00786A47" w:rsidRDefault="00786A47" w:rsidP="00786A47">
            <w:pPr>
              <w:jc w:val="both"/>
              <w:rPr>
                <w:rFonts w:ascii="Arial" w:hAnsi="Arial" w:cs="Arial"/>
                <w:sz w:val="22"/>
                <w:szCs w:val="22"/>
              </w:rPr>
            </w:pP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Consentimiento informado voluntario dado por   alguien en nombre de otro que está incapacitado para darlo por sí mismo.</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lastRenderedPageBreak/>
              <w:t>DECISIÓN INFORMADA</w:t>
            </w:r>
          </w:p>
        </w:tc>
        <w:tc>
          <w:tcPr>
            <w:tcW w:w="1223" w:type="pct"/>
            <w:vAlign w:val="center"/>
          </w:tcPr>
          <w:p w:rsidR="00786A47" w:rsidRPr="00786A47" w:rsidRDefault="00786A47" w:rsidP="00786A47">
            <w:pPr>
              <w:jc w:val="both"/>
              <w:rPr>
                <w:rFonts w:ascii="Arial" w:hAnsi="Arial" w:cs="Arial"/>
                <w:sz w:val="22"/>
                <w:szCs w:val="22"/>
              </w:rPr>
            </w:pPr>
            <w:r w:rsidRPr="00786A47">
              <w:rPr>
                <w:rFonts w:ascii="Arial" w:hAnsi="Arial" w:cs="Arial"/>
                <w:sz w:val="22"/>
                <w:szCs w:val="22"/>
                <w:lang w:eastAsia="es-CO"/>
              </w:rPr>
              <w:t>Rafael Torres Acosta, 2001.</w:t>
            </w: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Se dice que es un término más neutral que el con sentimiento informado y se da por lograda cuando el enfermo toma autónomamente (autólogamente), coincidente o discrepante con el médico, una decisión en base a información suficiente.</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DEONTOLÓGICO</w:t>
            </w:r>
          </w:p>
        </w:tc>
        <w:tc>
          <w:tcPr>
            <w:tcW w:w="1223" w:type="pct"/>
            <w:vAlign w:val="center"/>
          </w:tcPr>
          <w:p w:rsidR="00786A47" w:rsidRPr="00786A47" w:rsidRDefault="00786A47" w:rsidP="00786A47">
            <w:pPr>
              <w:jc w:val="both"/>
              <w:rPr>
                <w:rFonts w:ascii="Arial" w:hAnsi="Arial" w:cs="Arial"/>
                <w:sz w:val="22"/>
                <w:szCs w:val="22"/>
              </w:rPr>
            </w:pP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 xml:space="preserve">Lo que es regido por principios. </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DEONTOLOGÍA</w:t>
            </w:r>
          </w:p>
        </w:tc>
        <w:tc>
          <w:tcPr>
            <w:tcW w:w="1223" w:type="pct"/>
            <w:vAlign w:val="center"/>
          </w:tcPr>
          <w:p w:rsidR="00786A47" w:rsidRPr="00786A47" w:rsidRDefault="00786A47" w:rsidP="00786A47">
            <w:pPr>
              <w:jc w:val="both"/>
              <w:rPr>
                <w:rFonts w:ascii="Arial" w:hAnsi="Arial" w:cs="Arial"/>
                <w:sz w:val="22"/>
                <w:szCs w:val="22"/>
              </w:rPr>
            </w:pP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Es la ciencia o tratado de los deberes, proviene de la palabra   deontos que quiere decir deber.</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DERECHO A LA AUTONOMÍA.</w:t>
            </w:r>
          </w:p>
          <w:p w:rsidR="00786A47" w:rsidRPr="00786A47" w:rsidRDefault="00786A47" w:rsidP="00786A47">
            <w:pPr>
              <w:jc w:val="both"/>
              <w:rPr>
                <w:rFonts w:ascii="Arial" w:hAnsi="Arial" w:cs="Arial"/>
                <w:b/>
                <w:sz w:val="22"/>
                <w:szCs w:val="22"/>
              </w:rPr>
            </w:pPr>
          </w:p>
          <w:p w:rsidR="00786A47" w:rsidRPr="00786A47" w:rsidRDefault="00786A47" w:rsidP="00786A47">
            <w:pPr>
              <w:jc w:val="both"/>
              <w:rPr>
                <w:rFonts w:ascii="Arial" w:hAnsi="Arial" w:cs="Arial"/>
                <w:b/>
                <w:sz w:val="22"/>
                <w:szCs w:val="22"/>
              </w:rPr>
            </w:pPr>
            <w:r w:rsidRPr="00786A47">
              <w:rPr>
                <w:rFonts w:ascii="Arial" w:hAnsi="Arial" w:cs="Arial"/>
                <w:b/>
                <w:sz w:val="22"/>
                <w:szCs w:val="22"/>
              </w:rPr>
              <w:t>T- 271/95.</w:t>
            </w:r>
          </w:p>
        </w:tc>
        <w:tc>
          <w:tcPr>
            <w:tcW w:w="1223" w:type="pct"/>
            <w:vAlign w:val="center"/>
          </w:tcPr>
          <w:p w:rsidR="00786A47" w:rsidRPr="00786A47" w:rsidRDefault="00786A47" w:rsidP="00786A47">
            <w:pPr>
              <w:ind w:right="2837"/>
              <w:jc w:val="both"/>
              <w:rPr>
                <w:rFonts w:ascii="Arial" w:hAnsi="Arial" w:cs="Arial"/>
                <w:sz w:val="22"/>
                <w:szCs w:val="22"/>
              </w:rPr>
            </w:pP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 xml:space="preserve">A quien, en ejercicio de su autonomía, expresa su voluntad de someterse a un tratamiento paliativo, que cree </w:t>
            </w:r>
            <w:r w:rsidR="00985B3B" w:rsidRPr="00786A47">
              <w:rPr>
                <w:rFonts w:ascii="Arial" w:hAnsi="Arial" w:cs="Arial"/>
                <w:sz w:val="22"/>
                <w:szCs w:val="22"/>
              </w:rPr>
              <w:t>favorable, deba</w:t>
            </w:r>
            <w:r w:rsidRPr="00786A47">
              <w:rPr>
                <w:rFonts w:ascii="Arial" w:hAnsi="Arial" w:cs="Arial"/>
                <w:sz w:val="22"/>
                <w:szCs w:val="22"/>
              </w:rPr>
              <w:t xml:space="preserve"> respetársele su opción del mismo modo que se respeta la del sujeto que se opone a ser tratado, con la diferencia de que en un caso basta la abstención y en el otro se exige la actuación positiva encaminada a salvaguardar la salud y la vida. </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DILEMA ÉTICO</w:t>
            </w:r>
          </w:p>
        </w:tc>
        <w:tc>
          <w:tcPr>
            <w:tcW w:w="1223" w:type="pct"/>
            <w:vAlign w:val="center"/>
          </w:tcPr>
          <w:p w:rsidR="00786A47" w:rsidRPr="00786A47" w:rsidRDefault="00786A47" w:rsidP="00786A47">
            <w:pPr>
              <w:jc w:val="both"/>
              <w:rPr>
                <w:rFonts w:ascii="Arial" w:hAnsi="Arial" w:cs="Arial"/>
                <w:sz w:val="22"/>
                <w:szCs w:val="22"/>
              </w:rPr>
            </w:pPr>
            <w:r w:rsidRPr="00786A47">
              <w:rPr>
                <w:rFonts w:ascii="Arial" w:hAnsi="Arial" w:cs="Arial"/>
                <w:sz w:val="22"/>
                <w:szCs w:val="22"/>
                <w:lang w:eastAsia="es-CO"/>
              </w:rPr>
              <w:t>Rafael Torres Acosta, 2001.</w:t>
            </w: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Un conflicto de valores o creencias que resulta de una situación en la que la elección de un bien inevitablemente conlleva la pérdida de otro. Surge cuando hay dos o más valores morales o principios éticos en conflicto.</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EFECTOS ADVERSOS</w:t>
            </w:r>
          </w:p>
        </w:tc>
        <w:tc>
          <w:tcPr>
            <w:tcW w:w="1223" w:type="pct"/>
            <w:vAlign w:val="center"/>
          </w:tcPr>
          <w:p w:rsidR="00786A47" w:rsidRPr="00786A47" w:rsidRDefault="00786A47" w:rsidP="00786A47">
            <w:pPr>
              <w:jc w:val="both"/>
              <w:rPr>
                <w:rFonts w:ascii="Arial" w:hAnsi="Arial" w:cs="Arial"/>
                <w:sz w:val="22"/>
                <w:szCs w:val="22"/>
                <w:lang w:eastAsia="es-CO"/>
              </w:rPr>
            </w:pP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Refiere a los originados o identificados en el desarrollo del proyecto y los mecanismos de monitoreo y reporte como toma de muestras, manipulación de organismos biológicos, experimentación con medicamentos, falsos positivos o verdaderos negativos). En caso de  eventos adversos debe indicarse quién asumirá la indemnización o atención de éstos.</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ÉTICA</w:t>
            </w:r>
          </w:p>
        </w:tc>
        <w:tc>
          <w:tcPr>
            <w:tcW w:w="1223" w:type="pct"/>
            <w:vAlign w:val="center"/>
          </w:tcPr>
          <w:p w:rsidR="00786A47" w:rsidRPr="00786A47" w:rsidRDefault="00786A47" w:rsidP="00786A47">
            <w:pPr>
              <w:jc w:val="both"/>
              <w:rPr>
                <w:rFonts w:ascii="Arial" w:hAnsi="Arial" w:cs="Arial"/>
                <w:sz w:val="22"/>
                <w:szCs w:val="22"/>
              </w:rPr>
            </w:pPr>
            <w:r w:rsidRPr="00786A47">
              <w:rPr>
                <w:rFonts w:ascii="Arial" w:hAnsi="Arial" w:cs="Arial"/>
                <w:sz w:val="22"/>
                <w:szCs w:val="22"/>
                <w:lang w:eastAsia="es-CO"/>
              </w:rPr>
              <w:t>Rafael Torres Acosta, 2001.</w:t>
            </w: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 xml:space="preserve">Es la ciencia que se encarga del estudio de la moral; es la reflexión sistemática sobre normas, principios o valores que guían o </w:t>
            </w:r>
            <w:r w:rsidR="00985B3B" w:rsidRPr="00786A47">
              <w:rPr>
                <w:rFonts w:ascii="Arial" w:hAnsi="Arial" w:cs="Arial"/>
                <w:sz w:val="22"/>
                <w:szCs w:val="22"/>
              </w:rPr>
              <w:t>deberían guiar</w:t>
            </w:r>
            <w:r w:rsidRPr="00786A47">
              <w:rPr>
                <w:rFonts w:ascii="Arial" w:hAnsi="Arial" w:cs="Arial"/>
                <w:sz w:val="22"/>
                <w:szCs w:val="22"/>
              </w:rPr>
              <w:t xml:space="preserve"> la conducta </w:t>
            </w:r>
            <w:r w:rsidR="00985B3B" w:rsidRPr="00786A47">
              <w:rPr>
                <w:rFonts w:ascii="Arial" w:hAnsi="Arial" w:cs="Arial"/>
                <w:sz w:val="22"/>
                <w:szCs w:val="22"/>
              </w:rPr>
              <w:t>humana, y</w:t>
            </w:r>
            <w:r w:rsidRPr="00786A47">
              <w:rPr>
                <w:rFonts w:ascii="Arial" w:hAnsi="Arial" w:cs="Arial"/>
                <w:sz w:val="22"/>
                <w:szCs w:val="22"/>
              </w:rPr>
              <w:t xml:space="preserve"> como tal, se distingue de la moralidad, que es práctica, conducta o comportamiento. </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ÉTICA BIOMÉDICA</w:t>
            </w:r>
          </w:p>
        </w:tc>
        <w:tc>
          <w:tcPr>
            <w:tcW w:w="1223" w:type="pct"/>
            <w:vAlign w:val="center"/>
          </w:tcPr>
          <w:p w:rsidR="00786A47" w:rsidRPr="00786A47" w:rsidRDefault="00786A47" w:rsidP="00786A47">
            <w:pPr>
              <w:jc w:val="both"/>
              <w:rPr>
                <w:rFonts w:ascii="Arial" w:hAnsi="Arial" w:cs="Arial"/>
                <w:sz w:val="22"/>
                <w:szCs w:val="22"/>
              </w:rPr>
            </w:pPr>
            <w:r w:rsidRPr="00786A47">
              <w:rPr>
                <w:rFonts w:ascii="Arial" w:hAnsi="Arial" w:cs="Arial"/>
                <w:sz w:val="22"/>
                <w:szCs w:val="22"/>
              </w:rPr>
              <w:t>Sentencia SU 337-99</w:t>
            </w: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Una ética más circunscrita a los temas referidos a los pacientes y al personal que los atiende.</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GENOMA</w:t>
            </w:r>
          </w:p>
        </w:tc>
        <w:tc>
          <w:tcPr>
            <w:tcW w:w="1223" w:type="pct"/>
            <w:vAlign w:val="center"/>
          </w:tcPr>
          <w:p w:rsidR="00786A47" w:rsidRPr="00786A47" w:rsidRDefault="00786A47" w:rsidP="00786A47">
            <w:pPr>
              <w:jc w:val="both"/>
              <w:rPr>
                <w:rFonts w:ascii="Arial" w:hAnsi="Arial" w:cs="Arial"/>
                <w:sz w:val="22"/>
                <w:szCs w:val="22"/>
              </w:rPr>
            </w:pPr>
            <w:r w:rsidRPr="00786A47">
              <w:rPr>
                <w:rFonts w:ascii="Arial" w:hAnsi="Arial" w:cs="Arial"/>
                <w:sz w:val="22"/>
                <w:szCs w:val="22"/>
                <w:lang w:eastAsia="es-CO"/>
              </w:rPr>
              <w:t>Rafael Torres Acosta, 2001.</w:t>
            </w: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 xml:space="preserve">Conjunto del material genético de un ser vivo. Una parte la constituyen los genes que encierran la información hereditaria. </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 xml:space="preserve">INGENIERÍA GENÉTICA </w:t>
            </w:r>
            <w:r w:rsidRPr="00786A47">
              <w:rPr>
                <w:rFonts w:ascii="Arial" w:hAnsi="Arial" w:cs="Arial"/>
                <w:b/>
                <w:sz w:val="22"/>
                <w:szCs w:val="22"/>
              </w:rPr>
              <w:lastRenderedPageBreak/>
              <w:t>(MANIPULACIÓN GENÉTICA)</w:t>
            </w:r>
          </w:p>
        </w:tc>
        <w:tc>
          <w:tcPr>
            <w:tcW w:w="1223" w:type="pct"/>
            <w:vAlign w:val="center"/>
          </w:tcPr>
          <w:p w:rsidR="00786A47" w:rsidRPr="00786A47" w:rsidRDefault="00786A47" w:rsidP="00786A47">
            <w:pPr>
              <w:jc w:val="both"/>
              <w:rPr>
                <w:rFonts w:ascii="Arial" w:hAnsi="Arial" w:cs="Arial"/>
                <w:sz w:val="22"/>
                <w:szCs w:val="22"/>
              </w:rPr>
            </w:pPr>
            <w:r w:rsidRPr="00786A47">
              <w:rPr>
                <w:rFonts w:ascii="Arial" w:hAnsi="Arial" w:cs="Arial"/>
                <w:sz w:val="22"/>
                <w:szCs w:val="22"/>
                <w:lang w:eastAsia="es-CO"/>
              </w:rPr>
              <w:lastRenderedPageBreak/>
              <w:t>Rafael Torres Acosta, 2001.</w:t>
            </w: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 xml:space="preserve">Conjunto de técnicas cuya aplicación permite la construcción de organismos, en los que se ha modificado o alterado artificialmente, una </w:t>
            </w:r>
            <w:r w:rsidRPr="00786A47">
              <w:rPr>
                <w:rFonts w:ascii="Arial" w:hAnsi="Arial" w:cs="Arial"/>
                <w:sz w:val="22"/>
                <w:szCs w:val="22"/>
              </w:rPr>
              <w:lastRenderedPageBreak/>
              <w:t xml:space="preserve">secuencia de </w:t>
            </w:r>
            <w:r w:rsidR="00985B3B" w:rsidRPr="00786A47">
              <w:rPr>
                <w:rFonts w:ascii="Arial" w:hAnsi="Arial" w:cs="Arial"/>
                <w:sz w:val="22"/>
                <w:szCs w:val="22"/>
              </w:rPr>
              <w:t>material genético</w:t>
            </w:r>
            <w:r w:rsidRPr="00786A47">
              <w:rPr>
                <w:rFonts w:ascii="Arial" w:hAnsi="Arial" w:cs="Arial"/>
                <w:sz w:val="22"/>
                <w:szCs w:val="22"/>
              </w:rPr>
              <w:t>, introduciendo otra procedente de un organismo distinto. La técnica principal es la del ADN recombinante. También se suele aludir con este concepto a la clonación de genes y células.</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lastRenderedPageBreak/>
              <w:t>LEX ARTIS</w:t>
            </w:r>
          </w:p>
        </w:tc>
        <w:tc>
          <w:tcPr>
            <w:tcW w:w="1223" w:type="pct"/>
            <w:vAlign w:val="center"/>
          </w:tcPr>
          <w:p w:rsidR="00786A47" w:rsidRPr="00786A47" w:rsidRDefault="00786A47" w:rsidP="00786A47">
            <w:pPr>
              <w:jc w:val="both"/>
              <w:rPr>
                <w:rFonts w:ascii="Arial" w:hAnsi="Arial" w:cs="Arial"/>
                <w:sz w:val="22"/>
                <w:szCs w:val="22"/>
              </w:rPr>
            </w:pPr>
            <w:r w:rsidRPr="00786A47">
              <w:rPr>
                <w:rFonts w:ascii="Arial" w:hAnsi="Arial" w:cs="Arial"/>
                <w:sz w:val="22"/>
                <w:szCs w:val="22"/>
              </w:rPr>
              <w:t>Sentencia T-1025/02</w:t>
            </w:r>
          </w:p>
          <w:p w:rsidR="00786A47" w:rsidRPr="00786A47" w:rsidRDefault="00786A47" w:rsidP="00786A47">
            <w:pPr>
              <w:jc w:val="both"/>
              <w:rPr>
                <w:rFonts w:ascii="Arial" w:hAnsi="Arial" w:cs="Arial"/>
                <w:sz w:val="22"/>
                <w:szCs w:val="22"/>
              </w:rPr>
            </w:pP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Según el arte</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OBJECIÓN DE CONCIENCIA</w:t>
            </w:r>
          </w:p>
        </w:tc>
        <w:tc>
          <w:tcPr>
            <w:tcW w:w="1223" w:type="pct"/>
            <w:vAlign w:val="center"/>
          </w:tcPr>
          <w:p w:rsidR="00786A47" w:rsidRPr="00786A47" w:rsidRDefault="00786A47" w:rsidP="00786A47">
            <w:pPr>
              <w:jc w:val="both"/>
              <w:rPr>
                <w:rFonts w:ascii="Arial" w:hAnsi="Arial" w:cs="Arial"/>
                <w:sz w:val="22"/>
                <w:szCs w:val="22"/>
              </w:rPr>
            </w:pPr>
            <w:r w:rsidRPr="00786A47">
              <w:rPr>
                <w:rFonts w:ascii="Arial" w:hAnsi="Arial" w:cs="Arial"/>
                <w:bCs/>
                <w:sz w:val="22"/>
                <w:szCs w:val="22"/>
              </w:rPr>
              <w:t>Sentencia T-850/02</w:t>
            </w: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El derecho de los administradores de cuidados de la salud (tanto de las instituciones como de los practicantes individuales) de no violar sus principios éticos, basados en valores morales y en normas de conducta profesional. Por lo general, la objeción de conciencia está sustentada por una política expresa.</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BANCO DE DNA</w:t>
            </w:r>
          </w:p>
        </w:tc>
        <w:tc>
          <w:tcPr>
            <w:tcW w:w="1223" w:type="pct"/>
            <w:vAlign w:val="center"/>
          </w:tcPr>
          <w:p w:rsidR="00786A47" w:rsidRPr="00786A47" w:rsidRDefault="00786A47" w:rsidP="00786A47">
            <w:pPr>
              <w:jc w:val="both"/>
              <w:rPr>
                <w:rFonts w:ascii="Arial" w:hAnsi="Arial" w:cs="Arial"/>
                <w:sz w:val="22"/>
                <w:szCs w:val="22"/>
              </w:rPr>
            </w:pP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Es una plataforma ético-tecnológica de apoyo a la investigación biomédica, con el fin de resguardar y proteger las muestras genéticas, en su confidencialidad, en su reserva de identidad y en su uso tecnológico. Su uso adecuado deberá estar apoyado por una aprobación en primera instancia del individuo que aportó su muestra (en el caso de seres humanos), por el aval del comité de ética para la investigación científica y por un proyecto en el cual en el cual se expresen claramente los objetivos y se incluyan los protocolos que se usarán para trabajar dichas muestras. En el caso de banco de DNA de animales y plantas, el uso de estas muestras deberá estar reglamentado por los lineamientos  del Ministerio del medio ambiente.</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PACIENTES CRÍTICOS</w:t>
            </w:r>
          </w:p>
        </w:tc>
        <w:tc>
          <w:tcPr>
            <w:tcW w:w="1223" w:type="pct"/>
            <w:vAlign w:val="center"/>
          </w:tcPr>
          <w:p w:rsidR="00786A47" w:rsidRPr="00786A47" w:rsidRDefault="00786A47" w:rsidP="00786A47">
            <w:pPr>
              <w:jc w:val="both"/>
              <w:rPr>
                <w:rFonts w:ascii="Arial" w:hAnsi="Arial" w:cs="Arial"/>
                <w:sz w:val="22"/>
                <w:szCs w:val="22"/>
              </w:rPr>
            </w:pPr>
            <w:r w:rsidRPr="00786A47">
              <w:rPr>
                <w:rFonts w:ascii="Arial" w:hAnsi="Arial" w:cs="Arial"/>
                <w:sz w:val="22"/>
                <w:szCs w:val="22"/>
                <w:lang w:eastAsia="es-CO"/>
              </w:rPr>
              <w:t>Rafael Torres Acosta, 2001.</w:t>
            </w: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Son aquellos que tienen riesgo actual o potencial, de   sufrir complicaciones que pongan en peligro su vida. Son recuperables.</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PACIENTE DIFÍCIL O PROBLEMA (El mal llamado)</w:t>
            </w:r>
          </w:p>
        </w:tc>
        <w:tc>
          <w:tcPr>
            <w:tcW w:w="1223" w:type="pct"/>
            <w:vAlign w:val="center"/>
          </w:tcPr>
          <w:p w:rsidR="00786A47" w:rsidRPr="00786A47" w:rsidRDefault="00786A47" w:rsidP="00786A47">
            <w:pPr>
              <w:jc w:val="both"/>
              <w:rPr>
                <w:rFonts w:ascii="Arial" w:hAnsi="Arial" w:cs="Arial"/>
                <w:sz w:val="22"/>
                <w:szCs w:val="22"/>
              </w:rPr>
            </w:pPr>
            <w:r w:rsidRPr="00786A47">
              <w:rPr>
                <w:rFonts w:ascii="Arial" w:hAnsi="Arial" w:cs="Arial"/>
                <w:bCs/>
                <w:sz w:val="22"/>
                <w:szCs w:val="22"/>
              </w:rPr>
              <w:t>Sentencia T-850/02</w:t>
            </w: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 xml:space="preserve">Es todo paciente que genere emociones negativas en el profesional que le atiende. Le provoca una serie de cambios que pueden valorarse al nivel de actitudes, o incluso, cambios de perfil comunicacional y de pauta diagnóstico-terapéutica. Se pueden incluir aquí pacientes manipuladores, agresivos, hiperdemandantes, etc. </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PACIENTE INCURABLE</w:t>
            </w:r>
          </w:p>
        </w:tc>
        <w:tc>
          <w:tcPr>
            <w:tcW w:w="1223" w:type="pct"/>
            <w:vAlign w:val="center"/>
          </w:tcPr>
          <w:p w:rsidR="00786A47" w:rsidRPr="00786A47" w:rsidRDefault="00786A47" w:rsidP="00786A47">
            <w:pPr>
              <w:jc w:val="both"/>
              <w:rPr>
                <w:rFonts w:ascii="Arial" w:hAnsi="Arial" w:cs="Arial"/>
                <w:sz w:val="22"/>
                <w:szCs w:val="22"/>
              </w:rPr>
            </w:pP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 xml:space="preserve">Se diferencia del paciente terminal en que no tiene plazo previsible. Un diabético es un paciente  incurable, lo que no le descarta de </w:t>
            </w:r>
            <w:r w:rsidRPr="00786A47">
              <w:rPr>
                <w:rFonts w:ascii="Arial" w:hAnsi="Arial" w:cs="Arial"/>
                <w:sz w:val="22"/>
                <w:szCs w:val="22"/>
              </w:rPr>
              <w:lastRenderedPageBreak/>
              <w:t>ser susceptible de medidas de máximo esfuerzo terapéutico.</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lastRenderedPageBreak/>
              <w:t>PACIENTE TERMINAL</w:t>
            </w:r>
          </w:p>
        </w:tc>
        <w:tc>
          <w:tcPr>
            <w:tcW w:w="1223" w:type="pct"/>
            <w:vAlign w:val="center"/>
          </w:tcPr>
          <w:p w:rsidR="00786A47" w:rsidRPr="00786A47" w:rsidRDefault="00786A47" w:rsidP="00786A47">
            <w:pPr>
              <w:jc w:val="both"/>
              <w:rPr>
                <w:rFonts w:ascii="Arial" w:hAnsi="Arial" w:cs="Arial"/>
                <w:sz w:val="22"/>
                <w:szCs w:val="22"/>
              </w:rPr>
            </w:pP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Es el portador de una enfermedad avanzada, progresiva e incurable, sin posibilidades de respuesta a un tratamiento específico,  y que padece síntomas intensos, múltiples, multifactoriales y cambiantes, con un pronóstico de vida inferior a seis, nueve o doce meses  (según los autores).</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PATERNALISMO</w:t>
            </w:r>
          </w:p>
        </w:tc>
        <w:tc>
          <w:tcPr>
            <w:tcW w:w="1223" w:type="pct"/>
            <w:vAlign w:val="center"/>
          </w:tcPr>
          <w:p w:rsidR="00786A47" w:rsidRPr="00786A47" w:rsidRDefault="00786A47" w:rsidP="00786A47">
            <w:pPr>
              <w:jc w:val="both"/>
              <w:rPr>
                <w:rFonts w:ascii="Arial" w:hAnsi="Arial" w:cs="Arial"/>
                <w:sz w:val="22"/>
                <w:szCs w:val="22"/>
              </w:rPr>
            </w:pP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 xml:space="preserve">El paternalismo se refiere a la relación en la que la figura autoritaria actúa para beneficiar a la parte subordinada, tal como un padre beneficia a un niño o escoge en su lugar. Por lo común, el paternalismo médico es la tendencia a beneficiar o a evitar daños a un paciente, atendiendo a los </w:t>
            </w:r>
            <w:r w:rsidR="00985B3B" w:rsidRPr="00786A47">
              <w:rPr>
                <w:rFonts w:ascii="Arial" w:hAnsi="Arial" w:cs="Arial"/>
                <w:sz w:val="22"/>
                <w:szCs w:val="22"/>
              </w:rPr>
              <w:t>criterios y</w:t>
            </w:r>
            <w:r w:rsidRPr="00786A47">
              <w:rPr>
                <w:rFonts w:ascii="Arial" w:hAnsi="Arial" w:cs="Arial"/>
                <w:sz w:val="22"/>
                <w:szCs w:val="22"/>
              </w:rPr>
              <w:t xml:space="preserve"> valores del médico antes que a los deseos u opciones del enfermo "competente". </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PRAXIS</w:t>
            </w:r>
          </w:p>
        </w:tc>
        <w:tc>
          <w:tcPr>
            <w:tcW w:w="1223" w:type="pct"/>
            <w:vAlign w:val="center"/>
          </w:tcPr>
          <w:p w:rsidR="00786A47" w:rsidRPr="00786A47" w:rsidRDefault="00786A47" w:rsidP="00786A47">
            <w:pPr>
              <w:jc w:val="both"/>
              <w:rPr>
                <w:rFonts w:ascii="Arial" w:hAnsi="Arial" w:cs="Arial"/>
                <w:sz w:val="22"/>
                <w:szCs w:val="22"/>
              </w:rPr>
            </w:pPr>
            <w:r w:rsidRPr="00786A47">
              <w:rPr>
                <w:rFonts w:ascii="Arial" w:hAnsi="Arial" w:cs="Arial"/>
                <w:sz w:val="22"/>
                <w:szCs w:val="22"/>
                <w:lang w:eastAsia="es-CO"/>
              </w:rPr>
              <w:t>Rafael Torres Acosta, 2001.</w:t>
            </w: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Concepto griego que denota un saber-hacerse o auto-construirse el ser humano, en simultaneidad con el saber-hacer. Práctica, acción.</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RIESGO</w:t>
            </w:r>
          </w:p>
        </w:tc>
        <w:tc>
          <w:tcPr>
            <w:tcW w:w="1223" w:type="pct"/>
            <w:vAlign w:val="center"/>
          </w:tcPr>
          <w:p w:rsidR="00786A47" w:rsidRPr="00786A47" w:rsidRDefault="00786A47" w:rsidP="00786A47">
            <w:pPr>
              <w:jc w:val="both"/>
              <w:rPr>
                <w:rFonts w:ascii="Arial" w:hAnsi="Arial" w:cs="Arial"/>
                <w:sz w:val="22"/>
                <w:szCs w:val="22"/>
              </w:rPr>
            </w:pP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Se entiende como la exposición al peligro, donde exposición es la frecuencia de un evento y el peligro está determinado por la magnitud de un evento.</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SECRETO MÉDICO</w:t>
            </w:r>
          </w:p>
        </w:tc>
        <w:tc>
          <w:tcPr>
            <w:tcW w:w="1223" w:type="pct"/>
            <w:vAlign w:val="center"/>
          </w:tcPr>
          <w:p w:rsidR="00786A47" w:rsidRPr="00786A47" w:rsidRDefault="00786A47" w:rsidP="00786A47">
            <w:pPr>
              <w:jc w:val="both"/>
              <w:rPr>
                <w:rFonts w:ascii="Arial" w:hAnsi="Arial" w:cs="Arial"/>
                <w:sz w:val="22"/>
                <w:szCs w:val="22"/>
              </w:rPr>
            </w:pPr>
            <w:r w:rsidRPr="00786A47">
              <w:rPr>
                <w:rFonts w:ascii="Arial" w:hAnsi="Arial" w:cs="Arial"/>
                <w:sz w:val="22"/>
                <w:szCs w:val="22"/>
                <w:lang w:eastAsia="es-CO"/>
              </w:rPr>
              <w:t>Rafael Torres Acosta, 2001.</w:t>
            </w: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 xml:space="preserve">Es una forma particular del secreto profesional, nace de la libre confianza, de la libre entrega del enfermo a su médico, sin interpolación ninguna de otra persona, de ninguna otra potestad. Es aquella conducta del médico, consistente </w:t>
            </w:r>
            <w:r w:rsidR="00985B3B" w:rsidRPr="00786A47">
              <w:rPr>
                <w:rFonts w:ascii="Arial" w:hAnsi="Arial" w:cs="Arial"/>
                <w:sz w:val="22"/>
                <w:szCs w:val="22"/>
              </w:rPr>
              <w:t>en guardar</w:t>
            </w:r>
            <w:r w:rsidRPr="00786A47">
              <w:rPr>
                <w:rFonts w:ascii="Arial" w:hAnsi="Arial" w:cs="Arial"/>
                <w:sz w:val="22"/>
                <w:szCs w:val="22"/>
              </w:rPr>
              <w:t xml:space="preserve"> reserva de los hechos conocidos por él, en el ejercicio de su profesión, quedando englobados los hechos que del paciente conoce el médico, aunque no sean expresamente revelados confidencialmente por éste. Desde la época de Hipócrates se ha reconocido la obligación del médico de preservar los secretos del paciente.</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VOLUNTAD HETERÓNOMA</w:t>
            </w:r>
          </w:p>
        </w:tc>
        <w:tc>
          <w:tcPr>
            <w:tcW w:w="1223" w:type="pct"/>
            <w:vAlign w:val="center"/>
          </w:tcPr>
          <w:p w:rsidR="00786A47" w:rsidRPr="00786A47" w:rsidRDefault="00786A47" w:rsidP="00786A47">
            <w:pPr>
              <w:jc w:val="both"/>
              <w:rPr>
                <w:rFonts w:ascii="Arial" w:hAnsi="Arial" w:cs="Arial"/>
                <w:sz w:val="22"/>
                <w:szCs w:val="22"/>
              </w:rPr>
            </w:pP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 xml:space="preserve">Es la regida por normas o metas externas al individuo y, por tanto, subalternas. </w:t>
            </w:r>
          </w:p>
        </w:tc>
      </w:tr>
      <w:tr w:rsidR="00786A47" w:rsidRPr="00786A47" w:rsidTr="00985B3B">
        <w:tc>
          <w:tcPr>
            <w:tcW w:w="1142" w:type="pct"/>
            <w:vAlign w:val="center"/>
          </w:tcPr>
          <w:p w:rsidR="00786A47" w:rsidRPr="00786A47" w:rsidRDefault="00786A47" w:rsidP="00786A47">
            <w:pPr>
              <w:jc w:val="both"/>
              <w:rPr>
                <w:rFonts w:ascii="Arial" w:hAnsi="Arial" w:cs="Arial"/>
                <w:b/>
                <w:sz w:val="22"/>
                <w:szCs w:val="22"/>
              </w:rPr>
            </w:pPr>
            <w:r w:rsidRPr="00786A47">
              <w:rPr>
                <w:rFonts w:ascii="Arial" w:hAnsi="Arial" w:cs="Arial"/>
                <w:b/>
                <w:sz w:val="22"/>
                <w:szCs w:val="22"/>
              </w:rPr>
              <w:t>VOLUNTAD AUTÓNOMA</w:t>
            </w:r>
          </w:p>
        </w:tc>
        <w:tc>
          <w:tcPr>
            <w:tcW w:w="1223" w:type="pct"/>
            <w:vAlign w:val="center"/>
          </w:tcPr>
          <w:p w:rsidR="00786A47" w:rsidRPr="00786A47" w:rsidRDefault="00786A47" w:rsidP="00786A47">
            <w:pPr>
              <w:jc w:val="both"/>
              <w:rPr>
                <w:rFonts w:ascii="Arial" w:hAnsi="Arial" w:cs="Arial"/>
                <w:sz w:val="22"/>
                <w:szCs w:val="22"/>
              </w:rPr>
            </w:pPr>
            <w:r w:rsidRPr="00786A47">
              <w:rPr>
                <w:rFonts w:ascii="Arial" w:hAnsi="Arial" w:cs="Arial"/>
                <w:sz w:val="22"/>
                <w:szCs w:val="22"/>
              </w:rPr>
              <w:t>Sentencia T-1025/02</w:t>
            </w:r>
          </w:p>
          <w:p w:rsidR="00786A47" w:rsidRPr="00786A47" w:rsidRDefault="00786A47" w:rsidP="00786A47">
            <w:pPr>
              <w:jc w:val="both"/>
              <w:rPr>
                <w:rFonts w:ascii="Arial" w:hAnsi="Arial" w:cs="Arial"/>
                <w:sz w:val="22"/>
                <w:szCs w:val="22"/>
              </w:rPr>
            </w:pPr>
          </w:p>
          <w:p w:rsidR="00786A47" w:rsidRPr="00786A47" w:rsidRDefault="00786A47" w:rsidP="00786A47">
            <w:pPr>
              <w:tabs>
                <w:tab w:val="left" w:pos="1500"/>
              </w:tabs>
              <w:jc w:val="both"/>
              <w:rPr>
                <w:rFonts w:ascii="Arial" w:hAnsi="Arial" w:cs="Arial"/>
                <w:sz w:val="22"/>
                <w:szCs w:val="22"/>
              </w:rPr>
            </w:pPr>
          </w:p>
        </w:tc>
        <w:tc>
          <w:tcPr>
            <w:tcW w:w="2635" w:type="pct"/>
          </w:tcPr>
          <w:p w:rsidR="00786A47" w:rsidRPr="00786A47" w:rsidRDefault="00786A47" w:rsidP="00786A47">
            <w:pPr>
              <w:jc w:val="both"/>
              <w:rPr>
                <w:rFonts w:ascii="Arial" w:hAnsi="Arial" w:cs="Arial"/>
                <w:sz w:val="22"/>
                <w:szCs w:val="22"/>
              </w:rPr>
            </w:pPr>
            <w:r w:rsidRPr="00786A47">
              <w:rPr>
                <w:rFonts w:ascii="Arial" w:hAnsi="Arial" w:cs="Arial"/>
                <w:sz w:val="22"/>
                <w:szCs w:val="22"/>
              </w:rPr>
              <w:t xml:space="preserve">Se rige por una normativa interna (auto regida), racionalmente elaborada y desligada de un objeto, una meta o un resultado. La voluntad es autónoma cuando </w:t>
            </w:r>
            <w:r w:rsidR="00985B3B" w:rsidRPr="00786A47">
              <w:rPr>
                <w:rFonts w:ascii="Arial" w:hAnsi="Arial" w:cs="Arial"/>
                <w:sz w:val="22"/>
                <w:szCs w:val="22"/>
              </w:rPr>
              <w:t>está</w:t>
            </w:r>
            <w:r w:rsidRPr="00786A47">
              <w:rPr>
                <w:rFonts w:ascii="Arial" w:hAnsi="Arial" w:cs="Arial"/>
                <w:sz w:val="22"/>
                <w:szCs w:val="22"/>
              </w:rPr>
              <w:t xml:space="preserve"> anclada en </w:t>
            </w:r>
            <w:r w:rsidRPr="00786A47">
              <w:rPr>
                <w:rFonts w:ascii="Arial" w:hAnsi="Arial" w:cs="Arial"/>
                <w:sz w:val="22"/>
                <w:szCs w:val="22"/>
              </w:rPr>
              <w:lastRenderedPageBreak/>
              <w:t>la libertad, más no cuando se supedita a los posibles efectos o metas de su ejercicio.</w:t>
            </w:r>
          </w:p>
        </w:tc>
      </w:tr>
    </w:tbl>
    <w:p w:rsidR="00786A47" w:rsidRPr="00786A47" w:rsidRDefault="00786A47" w:rsidP="00786A47">
      <w:pPr>
        <w:pStyle w:val="Textoindependiente"/>
        <w:jc w:val="both"/>
        <w:rPr>
          <w:b/>
          <w:bCs w:val="0"/>
          <w:sz w:val="22"/>
          <w:szCs w:val="22"/>
        </w:rPr>
      </w:pPr>
    </w:p>
    <w:p w:rsidR="00786A47" w:rsidRPr="00786A47" w:rsidRDefault="00786A47" w:rsidP="00786A47">
      <w:pPr>
        <w:pStyle w:val="Textoindependiente"/>
        <w:jc w:val="both"/>
        <w:rPr>
          <w:b/>
          <w:bCs w:val="0"/>
          <w:sz w:val="22"/>
          <w:szCs w:val="22"/>
        </w:rPr>
      </w:pPr>
      <w:r w:rsidRPr="00786A47">
        <w:rPr>
          <w:b/>
          <w:bCs w:val="0"/>
          <w:sz w:val="22"/>
          <w:szCs w:val="22"/>
        </w:rPr>
        <w:t>Bibliografía sugerida:</w:t>
      </w:r>
    </w:p>
    <w:p w:rsidR="00786A47" w:rsidRPr="00786A47" w:rsidRDefault="00786A47" w:rsidP="00786A47">
      <w:pPr>
        <w:tabs>
          <w:tab w:val="left" w:pos="7225"/>
        </w:tabs>
        <w:jc w:val="both"/>
        <w:rPr>
          <w:rFonts w:ascii="Arial" w:hAnsi="Arial" w:cs="Arial"/>
          <w:sz w:val="22"/>
          <w:szCs w:val="22"/>
        </w:rPr>
      </w:pPr>
    </w:p>
    <w:p w:rsidR="00786A47" w:rsidRPr="00786A47" w:rsidRDefault="00786A47" w:rsidP="00786A47">
      <w:pPr>
        <w:tabs>
          <w:tab w:val="left" w:pos="7225"/>
        </w:tabs>
        <w:jc w:val="both"/>
        <w:rPr>
          <w:rFonts w:ascii="Arial" w:hAnsi="Arial" w:cs="Arial"/>
          <w:sz w:val="22"/>
          <w:szCs w:val="22"/>
          <w:lang w:val="en-US"/>
        </w:rPr>
      </w:pPr>
      <w:r w:rsidRPr="00786A47">
        <w:rPr>
          <w:rFonts w:ascii="Arial" w:hAnsi="Arial" w:cs="Arial"/>
          <w:sz w:val="22"/>
          <w:szCs w:val="22"/>
        </w:rPr>
        <w:t xml:space="preserve">1.- Conferencia Internacional de Armonización de los Requisitos Técnicos para el Registro de Farmacéuticos de Uso en Humanos. Guía ICH Tripartita y Armonizada para la Buena Práctica Médica. </w:t>
      </w:r>
      <w:r w:rsidRPr="00786A47">
        <w:rPr>
          <w:rFonts w:ascii="Arial" w:hAnsi="Arial" w:cs="Arial"/>
          <w:sz w:val="22"/>
          <w:szCs w:val="22"/>
          <w:lang w:val="en-US"/>
        </w:rPr>
        <w:t>(BPC), Ginebra, 1996.</w:t>
      </w:r>
    </w:p>
    <w:p w:rsidR="00786A47" w:rsidRPr="00786A47" w:rsidRDefault="00786A47" w:rsidP="00786A47">
      <w:pPr>
        <w:tabs>
          <w:tab w:val="left" w:pos="7225"/>
        </w:tabs>
        <w:jc w:val="both"/>
        <w:rPr>
          <w:rFonts w:ascii="Arial" w:hAnsi="Arial" w:cs="Arial"/>
          <w:sz w:val="22"/>
          <w:szCs w:val="22"/>
          <w:lang w:val="en-US"/>
        </w:rPr>
      </w:pPr>
    </w:p>
    <w:p w:rsidR="00786A47" w:rsidRPr="00786A47" w:rsidRDefault="00786A47" w:rsidP="00786A47">
      <w:pPr>
        <w:jc w:val="both"/>
        <w:rPr>
          <w:rFonts w:ascii="Arial" w:hAnsi="Arial" w:cs="Arial"/>
          <w:sz w:val="22"/>
          <w:szCs w:val="22"/>
        </w:rPr>
      </w:pPr>
      <w:r w:rsidRPr="00786A47">
        <w:rPr>
          <w:rFonts w:ascii="Arial" w:hAnsi="Arial" w:cs="Arial"/>
          <w:sz w:val="22"/>
          <w:szCs w:val="22"/>
          <w:lang w:val="en-US"/>
        </w:rPr>
        <w:t xml:space="preserve">2.- Global Forum for Health Research. The 10/90 Report on Health Research, Génova. </w:t>
      </w:r>
      <w:r w:rsidRPr="00786A47">
        <w:rPr>
          <w:rFonts w:ascii="Arial" w:hAnsi="Arial" w:cs="Arial"/>
          <w:sz w:val="22"/>
          <w:szCs w:val="22"/>
        </w:rPr>
        <w:t>2000.</w:t>
      </w:r>
    </w:p>
    <w:p w:rsidR="00786A47" w:rsidRPr="00786A47" w:rsidRDefault="00786A47" w:rsidP="00786A47">
      <w:pPr>
        <w:jc w:val="both"/>
        <w:rPr>
          <w:rFonts w:ascii="Arial" w:hAnsi="Arial" w:cs="Arial"/>
          <w:sz w:val="22"/>
          <w:szCs w:val="22"/>
        </w:rPr>
      </w:pPr>
    </w:p>
    <w:p w:rsidR="00786A47" w:rsidRPr="00786A47" w:rsidRDefault="00786A47" w:rsidP="00786A47">
      <w:pPr>
        <w:jc w:val="both"/>
        <w:rPr>
          <w:rFonts w:ascii="Arial" w:hAnsi="Arial" w:cs="Arial"/>
          <w:sz w:val="22"/>
          <w:szCs w:val="22"/>
        </w:rPr>
      </w:pPr>
      <w:r w:rsidRPr="00786A47">
        <w:rPr>
          <w:rFonts w:ascii="Arial" w:hAnsi="Arial" w:cs="Arial"/>
          <w:sz w:val="22"/>
          <w:szCs w:val="22"/>
        </w:rPr>
        <w:t>3.- Guía ICH Tripartita y Armonizada para la Buena Práctica Clínica (BPC). Conferencia Internacional de Armonización de los requisitos técnicos para el registro de Farmacéuticos de uso de humanos. Junio de 1996.</w:t>
      </w:r>
    </w:p>
    <w:p w:rsidR="00786A47" w:rsidRPr="00786A47" w:rsidRDefault="00786A47" w:rsidP="00786A47">
      <w:pPr>
        <w:jc w:val="both"/>
        <w:rPr>
          <w:rFonts w:ascii="Arial" w:hAnsi="Arial" w:cs="Arial"/>
          <w:sz w:val="22"/>
          <w:szCs w:val="22"/>
        </w:rPr>
      </w:pPr>
    </w:p>
    <w:p w:rsidR="00786A47" w:rsidRPr="00786A47" w:rsidRDefault="00786A47" w:rsidP="00786A47">
      <w:pPr>
        <w:jc w:val="both"/>
        <w:rPr>
          <w:rFonts w:ascii="Arial" w:hAnsi="Arial" w:cs="Arial"/>
          <w:sz w:val="22"/>
          <w:szCs w:val="22"/>
        </w:rPr>
      </w:pPr>
      <w:r w:rsidRPr="00786A47">
        <w:rPr>
          <w:rFonts w:ascii="Arial" w:hAnsi="Arial" w:cs="Arial"/>
          <w:sz w:val="22"/>
          <w:szCs w:val="22"/>
        </w:rPr>
        <w:t>4.- Guías Operacionales para los Comités de Ética que evalúan Investigación Biomédica. TDR/PRD/ETHICS/2000.1. Ginebra. 2000.</w:t>
      </w:r>
    </w:p>
    <w:p w:rsidR="00786A47" w:rsidRPr="00786A47" w:rsidRDefault="00786A47" w:rsidP="00786A47">
      <w:pPr>
        <w:jc w:val="both"/>
        <w:rPr>
          <w:rFonts w:ascii="Arial" w:hAnsi="Arial" w:cs="Arial"/>
          <w:sz w:val="22"/>
          <w:szCs w:val="22"/>
        </w:rPr>
      </w:pPr>
    </w:p>
    <w:p w:rsidR="00786A47" w:rsidRPr="00786A47" w:rsidRDefault="00786A47" w:rsidP="00786A47">
      <w:pPr>
        <w:jc w:val="both"/>
        <w:rPr>
          <w:rFonts w:ascii="Arial" w:hAnsi="Arial" w:cs="Arial"/>
          <w:sz w:val="22"/>
          <w:szCs w:val="22"/>
          <w:lang w:val="en-US"/>
        </w:rPr>
      </w:pPr>
      <w:r w:rsidRPr="00786A47">
        <w:rPr>
          <w:rFonts w:ascii="Arial" w:hAnsi="Arial" w:cs="Arial"/>
          <w:sz w:val="22"/>
          <w:szCs w:val="22"/>
        </w:rPr>
        <w:t>5.- Ortegón Mónica, Alvarado Ricardo, Alterio María</w:t>
      </w:r>
      <w:r w:rsidR="00985B3B">
        <w:rPr>
          <w:rFonts w:ascii="Arial" w:hAnsi="Arial" w:cs="Arial"/>
          <w:sz w:val="22"/>
          <w:szCs w:val="22"/>
        </w:rPr>
        <w:t xml:space="preserve"> G</w:t>
      </w:r>
      <w:r w:rsidRPr="00786A47">
        <w:rPr>
          <w:rFonts w:ascii="Arial" w:hAnsi="Arial" w:cs="Arial"/>
          <w:sz w:val="22"/>
          <w:szCs w:val="22"/>
        </w:rPr>
        <w:t xml:space="preserve">abriela, Garzón Pablo. Primera encuesta nacional sobre la estructura, organización y funcionamiento de los Comités de Ética en Investigación en Colombia. </w:t>
      </w:r>
      <w:r w:rsidRPr="00985B3B">
        <w:rPr>
          <w:rFonts w:ascii="Arial" w:hAnsi="Arial" w:cs="Arial"/>
          <w:sz w:val="22"/>
          <w:szCs w:val="22"/>
        </w:rPr>
        <w:t>Avanzar</w:t>
      </w:r>
      <w:r w:rsidRPr="00786A47">
        <w:rPr>
          <w:rFonts w:ascii="Arial" w:hAnsi="Arial" w:cs="Arial"/>
          <w:sz w:val="22"/>
          <w:szCs w:val="22"/>
          <w:lang w:val="en-US"/>
        </w:rPr>
        <w:t xml:space="preserve">, Revista Forum, Vol. 3 No. 2 </w:t>
      </w:r>
      <w:r w:rsidR="00985B3B" w:rsidRPr="00786A47">
        <w:rPr>
          <w:rFonts w:ascii="Arial" w:hAnsi="Arial" w:cs="Arial"/>
          <w:sz w:val="22"/>
          <w:szCs w:val="22"/>
          <w:lang w:val="en-US"/>
        </w:rPr>
        <w:t>mayo</w:t>
      </w:r>
      <w:r w:rsidR="00985B3B">
        <w:rPr>
          <w:rFonts w:ascii="Arial" w:hAnsi="Arial" w:cs="Arial"/>
          <w:sz w:val="22"/>
          <w:szCs w:val="22"/>
          <w:lang w:val="en-US"/>
        </w:rPr>
        <w:t>- j</w:t>
      </w:r>
      <w:r w:rsidRPr="00786A47">
        <w:rPr>
          <w:rFonts w:ascii="Arial" w:hAnsi="Arial" w:cs="Arial"/>
          <w:sz w:val="22"/>
          <w:szCs w:val="22"/>
          <w:lang w:val="en-US"/>
        </w:rPr>
        <w:t>ulio de 2002.</w:t>
      </w:r>
    </w:p>
    <w:p w:rsidR="00786A47" w:rsidRPr="00786A47" w:rsidRDefault="00786A47" w:rsidP="00786A47">
      <w:pPr>
        <w:jc w:val="both"/>
        <w:rPr>
          <w:rFonts w:ascii="Arial" w:hAnsi="Arial" w:cs="Arial"/>
          <w:sz w:val="22"/>
          <w:szCs w:val="22"/>
          <w:lang w:val="en-US"/>
        </w:rPr>
      </w:pPr>
    </w:p>
    <w:p w:rsidR="00786A47" w:rsidRPr="00786A47" w:rsidRDefault="00786A47" w:rsidP="00786A47">
      <w:pPr>
        <w:jc w:val="both"/>
        <w:rPr>
          <w:rFonts w:ascii="Arial" w:hAnsi="Arial" w:cs="Arial"/>
          <w:sz w:val="22"/>
          <w:szCs w:val="22"/>
          <w:lang w:val="en-US"/>
        </w:rPr>
      </w:pPr>
      <w:r w:rsidRPr="00786A47">
        <w:rPr>
          <w:rFonts w:ascii="Arial" w:hAnsi="Arial" w:cs="Arial"/>
          <w:sz w:val="22"/>
          <w:szCs w:val="22"/>
          <w:lang w:val="en-US"/>
        </w:rPr>
        <w:t>6.- Serrano LaVertu D. Linares A.M. Ethical Principles of Biomedical Research on Human Subjects: Their application and Limitations in Latin America and the Caribbean en: Bioethics Issues and Perspectives, S. Scolle y H.L. Fuenzalida-Puelma Edit., PAHO, Washington, 1990. pp. 107-115.</w:t>
      </w:r>
    </w:p>
    <w:p w:rsidR="00786A47" w:rsidRPr="00786A47" w:rsidRDefault="00786A47" w:rsidP="00786A47">
      <w:pPr>
        <w:jc w:val="both"/>
        <w:rPr>
          <w:rFonts w:ascii="Arial" w:hAnsi="Arial" w:cs="Arial"/>
          <w:sz w:val="22"/>
          <w:szCs w:val="22"/>
          <w:lang w:val="en-US"/>
        </w:rPr>
      </w:pPr>
    </w:p>
    <w:p w:rsidR="00786A47" w:rsidRPr="00786A47" w:rsidRDefault="00786A47" w:rsidP="00786A47">
      <w:pPr>
        <w:jc w:val="both"/>
        <w:rPr>
          <w:rFonts w:ascii="Arial" w:hAnsi="Arial" w:cs="Arial"/>
          <w:sz w:val="22"/>
          <w:szCs w:val="22"/>
        </w:rPr>
      </w:pPr>
      <w:r w:rsidRPr="00786A47">
        <w:rPr>
          <w:rFonts w:ascii="Arial" w:hAnsi="Arial" w:cs="Arial"/>
          <w:sz w:val="22"/>
          <w:szCs w:val="22"/>
          <w:lang w:val="en-US"/>
        </w:rPr>
        <w:t xml:space="preserve">7.- Surveying and Evaluating Ethical Review Practices, Geneva, February 2002. </w:t>
      </w:r>
      <w:r w:rsidRPr="00786A47">
        <w:rPr>
          <w:rFonts w:ascii="Arial" w:hAnsi="Arial" w:cs="Arial"/>
          <w:sz w:val="22"/>
          <w:szCs w:val="22"/>
        </w:rPr>
        <w:t>TDR/PRD/ETHICS/2002.1</w:t>
      </w:r>
    </w:p>
    <w:p w:rsidR="00786A47" w:rsidRPr="00786A47" w:rsidRDefault="00786A47" w:rsidP="00786A47">
      <w:pPr>
        <w:pStyle w:val="Textoindependiente"/>
        <w:jc w:val="both"/>
        <w:rPr>
          <w:sz w:val="22"/>
          <w:szCs w:val="22"/>
        </w:rPr>
      </w:pPr>
    </w:p>
    <w:p w:rsidR="00786A47" w:rsidRPr="00786A47" w:rsidRDefault="00786A47" w:rsidP="00786A47">
      <w:pPr>
        <w:pStyle w:val="Textoindependiente"/>
        <w:jc w:val="both"/>
        <w:rPr>
          <w:sz w:val="22"/>
          <w:szCs w:val="22"/>
        </w:rPr>
      </w:pPr>
      <w:r w:rsidRPr="00786A47">
        <w:rPr>
          <w:sz w:val="22"/>
          <w:szCs w:val="22"/>
        </w:rPr>
        <w:t>8.- Régimen Penal Colombiano. Legis editores S.A. Santa fe de Bogotá, 2002.</w:t>
      </w:r>
    </w:p>
    <w:p w:rsidR="00786A47" w:rsidRPr="00786A47" w:rsidRDefault="00786A47" w:rsidP="00786A47">
      <w:pPr>
        <w:pStyle w:val="Textoindependiente"/>
        <w:jc w:val="both"/>
        <w:rPr>
          <w:sz w:val="22"/>
          <w:szCs w:val="22"/>
        </w:rPr>
      </w:pPr>
    </w:p>
    <w:p w:rsidR="00786A47" w:rsidRPr="00786A47" w:rsidRDefault="00786A47" w:rsidP="00786A47">
      <w:pPr>
        <w:pStyle w:val="Textoindependiente"/>
        <w:jc w:val="both"/>
        <w:rPr>
          <w:sz w:val="22"/>
          <w:szCs w:val="22"/>
        </w:rPr>
      </w:pPr>
      <w:r w:rsidRPr="00786A47">
        <w:rPr>
          <w:sz w:val="22"/>
          <w:szCs w:val="22"/>
        </w:rPr>
        <w:t>9.- Códigos, convenios y Declaraciones de Ética Médica, enfermería y Bioética. Colección BIOS Y ETHOS. Ediciones El Bosque. Santa fe de Bogotá. 1998</w:t>
      </w:r>
    </w:p>
    <w:p w:rsidR="00786A47" w:rsidRPr="00786A47" w:rsidRDefault="00786A47" w:rsidP="00786A47">
      <w:pPr>
        <w:pStyle w:val="Textoindependiente"/>
        <w:jc w:val="both"/>
        <w:rPr>
          <w:sz w:val="22"/>
          <w:szCs w:val="22"/>
        </w:rPr>
      </w:pPr>
    </w:p>
    <w:p w:rsidR="00786A47" w:rsidRPr="00786A47" w:rsidRDefault="00786A47" w:rsidP="00786A47">
      <w:pPr>
        <w:pStyle w:val="Textoindependiente"/>
        <w:jc w:val="both"/>
        <w:rPr>
          <w:sz w:val="22"/>
          <w:szCs w:val="22"/>
        </w:rPr>
      </w:pPr>
      <w:r w:rsidRPr="00786A47">
        <w:rPr>
          <w:sz w:val="22"/>
          <w:szCs w:val="22"/>
        </w:rPr>
        <w:t>10.- Temas de Bioética. Universidad de Antioquia. No. 1. Comité de bioética. Medellín, Colombia. 2001</w:t>
      </w:r>
    </w:p>
    <w:p w:rsidR="00786A47" w:rsidRPr="00786A47" w:rsidRDefault="00786A47" w:rsidP="00786A47">
      <w:pPr>
        <w:pStyle w:val="Textoindependiente"/>
        <w:jc w:val="both"/>
        <w:rPr>
          <w:sz w:val="22"/>
          <w:szCs w:val="22"/>
        </w:rPr>
      </w:pPr>
      <w:r w:rsidRPr="00786A47">
        <w:rPr>
          <w:sz w:val="22"/>
          <w:szCs w:val="22"/>
        </w:rPr>
        <w:t>11.- BOTERO BERNAL, José Fernando. DE LA MANIPULACIÓN GENETICA EN EL NUEVO CODIGO PENAL COLOMBIANO. Librería Jurídica Sánchez. Primera Edición. 2001</w:t>
      </w:r>
    </w:p>
    <w:p w:rsidR="00786A47" w:rsidRPr="00786A47" w:rsidRDefault="00786A47" w:rsidP="00786A47">
      <w:pPr>
        <w:pStyle w:val="Textoindependiente"/>
        <w:jc w:val="both"/>
        <w:rPr>
          <w:sz w:val="22"/>
          <w:szCs w:val="22"/>
        </w:rPr>
      </w:pPr>
    </w:p>
    <w:p w:rsidR="00786A47" w:rsidRPr="00786A47" w:rsidRDefault="00786A47" w:rsidP="00786A47">
      <w:pPr>
        <w:jc w:val="both"/>
        <w:rPr>
          <w:rFonts w:ascii="Arial" w:hAnsi="Arial" w:cs="Arial"/>
          <w:sz w:val="22"/>
          <w:szCs w:val="22"/>
        </w:rPr>
      </w:pPr>
      <w:r w:rsidRPr="00786A47">
        <w:rPr>
          <w:rFonts w:ascii="Arial" w:hAnsi="Arial" w:cs="Arial"/>
          <w:sz w:val="22"/>
          <w:szCs w:val="22"/>
        </w:rPr>
        <w:t>BIBLIOGRAFIA SUGERIDA POR UNESCO</w:t>
      </w:r>
      <w:r w:rsidRPr="00786A47">
        <w:rPr>
          <w:rStyle w:val="Refdenotaalpie"/>
          <w:rFonts w:ascii="Arial" w:hAnsi="Arial" w:cs="Arial"/>
          <w:sz w:val="22"/>
          <w:szCs w:val="22"/>
        </w:rPr>
        <w:footnoteReference w:id="21"/>
      </w:r>
      <w:r w:rsidRPr="00786A47">
        <w:rPr>
          <w:rFonts w:ascii="Arial" w:hAnsi="Arial" w:cs="Arial"/>
          <w:sz w:val="22"/>
          <w:szCs w:val="22"/>
        </w:rPr>
        <w:t>:</w:t>
      </w:r>
    </w:p>
    <w:p w:rsidR="00786A47" w:rsidRPr="00786A47" w:rsidRDefault="00786A47" w:rsidP="00786A47">
      <w:pPr>
        <w:jc w:val="both"/>
        <w:rPr>
          <w:rFonts w:ascii="Arial" w:hAnsi="Arial" w:cs="Arial"/>
          <w:sz w:val="22"/>
          <w:szCs w:val="22"/>
        </w:rPr>
      </w:pPr>
    </w:p>
    <w:p w:rsidR="00786A47" w:rsidRDefault="00786A47" w:rsidP="00786A47">
      <w:pPr>
        <w:numPr>
          <w:ilvl w:val="0"/>
          <w:numId w:val="34"/>
        </w:numPr>
        <w:autoSpaceDE w:val="0"/>
        <w:autoSpaceDN w:val="0"/>
        <w:adjustRightInd w:val="0"/>
        <w:jc w:val="both"/>
        <w:rPr>
          <w:rFonts w:ascii="Arial" w:hAnsi="Arial" w:cs="Arial"/>
          <w:b/>
          <w:bCs/>
          <w:sz w:val="22"/>
          <w:szCs w:val="22"/>
        </w:rPr>
      </w:pPr>
      <w:r w:rsidRPr="00786A47">
        <w:rPr>
          <w:rFonts w:ascii="Arial" w:hAnsi="Arial" w:cs="Arial"/>
          <w:b/>
          <w:bCs/>
          <w:sz w:val="22"/>
          <w:szCs w:val="22"/>
        </w:rPr>
        <w:lastRenderedPageBreak/>
        <w:t>BIOÉTICA</w:t>
      </w:r>
    </w:p>
    <w:p w:rsidR="00786A47" w:rsidRPr="00786A47" w:rsidRDefault="00786A47" w:rsidP="00786A47">
      <w:pPr>
        <w:autoSpaceDE w:val="0"/>
        <w:autoSpaceDN w:val="0"/>
        <w:adjustRightInd w:val="0"/>
        <w:ind w:left="720"/>
        <w:jc w:val="both"/>
        <w:rPr>
          <w:rFonts w:ascii="Arial" w:hAnsi="Arial" w:cs="Arial"/>
          <w:b/>
          <w:bCs/>
          <w:sz w:val="22"/>
          <w:szCs w:val="22"/>
        </w:rPr>
      </w:pP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b/>
          <w:bCs/>
          <w:sz w:val="22"/>
          <w:szCs w:val="22"/>
        </w:rPr>
        <w:t xml:space="preserve">La Declaración Universal sobre el Genoma Humano y los Derechos Humanos. París </w:t>
      </w:r>
      <w:r w:rsidRPr="00786A47">
        <w:rPr>
          <w:rFonts w:ascii="Arial" w:hAnsi="Arial" w:cs="Arial"/>
          <w:sz w:val="22"/>
          <w:szCs w:val="22"/>
        </w:rPr>
        <w:t>(Francia),1997.http://portal.unesco.org/es/ev.phpURL_ID=13177&amp;URL_DO=DO_TOPIC&amp;URL_SECTION=201.html</w:t>
      </w: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b/>
          <w:bCs/>
          <w:sz w:val="22"/>
          <w:szCs w:val="22"/>
        </w:rPr>
        <w:t xml:space="preserve">Declaración Internacional sobre los Datos Genéticos Humanos. </w:t>
      </w:r>
      <w:r w:rsidRPr="00786A47">
        <w:rPr>
          <w:rFonts w:ascii="Arial" w:hAnsi="Arial" w:cs="Arial"/>
          <w:sz w:val="22"/>
          <w:szCs w:val="22"/>
        </w:rPr>
        <w:t>París (Francia), 2003.</w:t>
      </w: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sz w:val="22"/>
          <w:szCs w:val="22"/>
        </w:rPr>
        <w:t>http://unesdoc.unesco.org/images/0013/001361/136112so.pdf</w:t>
      </w:r>
    </w:p>
    <w:p w:rsidR="00786A47" w:rsidRPr="00786A47" w:rsidRDefault="00786A47" w:rsidP="00786A47">
      <w:pPr>
        <w:autoSpaceDE w:val="0"/>
        <w:autoSpaceDN w:val="0"/>
        <w:adjustRightInd w:val="0"/>
        <w:jc w:val="both"/>
        <w:rPr>
          <w:rFonts w:ascii="Arial" w:hAnsi="Arial" w:cs="Arial"/>
          <w:b/>
          <w:bCs/>
          <w:sz w:val="22"/>
          <w:szCs w:val="22"/>
        </w:rPr>
      </w:pP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b/>
          <w:bCs/>
          <w:sz w:val="22"/>
          <w:szCs w:val="22"/>
        </w:rPr>
        <w:t xml:space="preserve">Bioethics. International Implications. París </w:t>
      </w:r>
      <w:r w:rsidRPr="00786A47">
        <w:rPr>
          <w:rFonts w:ascii="Arial" w:hAnsi="Arial" w:cs="Arial"/>
          <w:sz w:val="22"/>
          <w:szCs w:val="22"/>
        </w:rPr>
        <w:t>(Francia), 2003.</w:t>
      </w: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sz w:val="22"/>
          <w:szCs w:val="22"/>
        </w:rPr>
        <w:t>http://unesdoc.unesco.org/images/0013/001309/130976e.pdf</w:t>
      </w:r>
    </w:p>
    <w:p w:rsidR="00786A47" w:rsidRPr="00786A47" w:rsidRDefault="00786A47" w:rsidP="00786A47">
      <w:pPr>
        <w:autoSpaceDE w:val="0"/>
        <w:autoSpaceDN w:val="0"/>
        <w:adjustRightInd w:val="0"/>
        <w:jc w:val="both"/>
        <w:rPr>
          <w:rFonts w:ascii="Arial" w:hAnsi="Arial" w:cs="Arial"/>
          <w:b/>
          <w:bCs/>
          <w:sz w:val="22"/>
          <w:szCs w:val="22"/>
        </w:rPr>
      </w:pP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b/>
          <w:bCs/>
          <w:sz w:val="22"/>
          <w:szCs w:val="22"/>
        </w:rPr>
        <w:t xml:space="preserve">La clonación humana: cuestiones éticas. París </w:t>
      </w:r>
      <w:r w:rsidRPr="00786A47">
        <w:rPr>
          <w:rFonts w:ascii="Arial" w:hAnsi="Arial" w:cs="Arial"/>
          <w:sz w:val="22"/>
          <w:szCs w:val="22"/>
        </w:rPr>
        <w:t>(Francia), 2004.</w:t>
      </w: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sz w:val="22"/>
          <w:szCs w:val="22"/>
        </w:rPr>
        <w:t>http://unesdoc.unesco.org/images/0013/001359/135928e.pdf</w:t>
      </w:r>
    </w:p>
    <w:p w:rsidR="00786A47" w:rsidRPr="00786A47" w:rsidRDefault="00786A47" w:rsidP="00786A47">
      <w:pPr>
        <w:autoSpaceDE w:val="0"/>
        <w:autoSpaceDN w:val="0"/>
        <w:adjustRightInd w:val="0"/>
        <w:jc w:val="both"/>
        <w:rPr>
          <w:rFonts w:ascii="Arial" w:hAnsi="Arial" w:cs="Arial"/>
          <w:b/>
          <w:bCs/>
          <w:sz w:val="22"/>
          <w:szCs w:val="22"/>
        </w:rPr>
      </w:pP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b/>
          <w:bCs/>
          <w:sz w:val="22"/>
          <w:szCs w:val="22"/>
        </w:rPr>
        <w:t xml:space="preserve">Declaración Universal sobre Bioética y Derechos Humanos. </w:t>
      </w:r>
      <w:r w:rsidRPr="00786A47">
        <w:rPr>
          <w:rFonts w:ascii="Arial" w:hAnsi="Arial" w:cs="Arial"/>
          <w:sz w:val="22"/>
          <w:szCs w:val="22"/>
        </w:rPr>
        <w:t>París (Francia), 2005.</w:t>
      </w: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sz w:val="22"/>
          <w:szCs w:val="22"/>
        </w:rPr>
        <w:t>http://unesdoc.unesco.org/images/0014/001461/146180s.pdf</w:t>
      </w:r>
    </w:p>
    <w:p w:rsidR="00786A47" w:rsidRPr="00786A47" w:rsidRDefault="00786A47" w:rsidP="00786A47">
      <w:pPr>
        <w:autoSpaceDE w:val="0"/>
        <w:autoSpaceDN w:val="0"/>
        <w:adjustRightInd w:val="0"/>
        <w:jc w:val="both"/>
        <w:rPr>
          <w:rFonts w:ascii="Arial" w:hAnsi="Arial" w:cs="Arial"/>
          <w:b/>
          <w:bCs/>
          <w:sz w:val="22"/>
          <w:szCs w:val="22"/>
        </w:rPr>
      </w:pP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b/>
          <w:bCs/>
          <w:sz w:val="22"/>
          <w:szCs w:val="22"/>
        </w:rPr>
        <w:t xml:space="preserve">Creación de comités de bioética (Guía No 1), </w:t>
      </w:r>
      <w:r w:rsidRPr="00786A47">
        <w:rPr>
          <w:rFonts w:ascii="Arial" w:hAnsi="Arial" w:cs="Arial"/>
          <w:sz w:val="22"/>
          <w:szCs w:val="22"/>
        </w:rPr>
        <w:t>París (Francia), 2005.</w:t>
      </w: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sz w:val="22"/>
          <w:szCs w:val="22"/>
        </w:rPr>
        <w:t>http://unesdoc.unesco.org/images/0013/001393/139309s.pdf</w:t>
      </w:r>
    </w:p>
    <w:p w:rsidR="00786A47" w:rsidRPr="00786A47" w:rsidRDefault="00786A47" w:rsidP="00786A47">
      <w:pPr>
        <w:autoSpaceDE w:val="0"/>
        <w:autoSpaceDN w:val="0"/>
        <w:adjustRightInd w:val="0"/>
        <w:jc w:val="both"/>
        <w:rPr>
          <w:rFonts w:ascii="Arial" w:hAnsi="Arial" w:cs="Arial"/>
          <w:b/>
          <w:bCs/>
          <w:sz w:val="22"/>
          <w:szCs w:val="22"/>
        </w:rPr>
      </w:pP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b/>
          <w:bCs/>
          <w:sz w:val="22"/>
          <w:szCs w:val="22"/>
        </w:rPr>
        <w:t xml:space="preserve">Funcionamiento de los comités de bioética: procedimientos y políticas (Guía No 2), </w:t>
      </w:r>
      <w:r w:rsidRPr="00786A47">
        <w:rPr>
          <w:rFonts w:ascii="Arial" w:hAnsi="Arial" w:cs="Arial"/>
          <w:sz w:val="22"/>
          <w:szCs w:val="22"/>
        </w:rPr>
        <w:t>París, Francia, 2006.</w:t>
      </w: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sz w:val="22"/>
          <w:szCs w:val="22"/>
        </w:rPr>
        <w:t>http://unesdoc.unesco.org/images/0014/001473/147392s.pdf</w:t>
      </w:r>
    </w:p>
    <w:p w:rsidR="00786A47" w:rsidRPr="00786A47" w:rsidRDefault="00786A47" w:rsidP="00786A47">
      <w:pPr>
        <w:autoSpaceDE w:val="0"/>
        <w:autoSpaceDN w:val="0"/>
        <w:adjustRightInd w:val="0"/>
        <w:jc w:val="both"/>
        <w:rPr>
          <w:rFonts w:ascii="Arial" w:hAnsi="Arial" w:cs="Arial"/>
          <w:b/>
          <w:bCs/>
          <w:sz w:val="22"/>
          <w:szCs w:val="22"/>
        </w:rPr>
      </w:pP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b/>
          <w:bCs/>
          <w:sz w:val="22"/>
          <w:szCs w:val="22"/>
        </w:rPr>
        <w:t xml:space="preserve">Bioética. Preguntas y respuestas </w:t>
      </w:r>
      <w:r w:rsidRPr="00786A47">
        <w:rPr>
          <w:rFonts w:ascii="Arial" w:hAnsi="Arial" w:cs="Arial"/>
          <w:sz w:val="22"/>
          <w:szCs w:val="22"/>
        </w:rPr>
        <w:t>[únicamente en ruso]. Moscú (Federación de Rusia), 2006.</w:t>
      </w: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sz w:val="22"/>
          <w:szCs w:val="22"/>
        </w:rPr>
        <w:t>http://www.unesco.ru/fi les/docs/shs/Bioethics%20brochure.pdf</w:t>
      </w: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sz w:val="22"/>
          <w:szCs w:val="22"/>
        </w:rPr>
        <w:t>83</w:t>
      </w: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sz w:val="22"/>
          <w:szCs w:val="22"/>
        </w:rPr>
        <w:t>CAPACITACIÓN DE LOS COMITÉS DE BIOÉTICA</w:t>
      </w:r>
    </w:p>
    <w:p w:rsidR="00786A47" w:rsidRPr="00786A47" w:rsidRDefault="00786A47" w:rsidP="00786A47">
      <w:pPr>
        <w:autoSpaceDE w:val="0"/>
        <w:autoSpaceDN w:val="0"/>
        <w:adjustRightInd w:val="0"/>
        <w:jc w:val="both"/>
        <w:rPr>
          <w:rFonts w:ascii="Arial" w:hAnsi="Arial" w:cs="Arial"/>
          <w:b/>
          <w:bCs/>
          <w:sz w:val="22"/>
          <w:szCs w:val="22"/>
        </w:rPr>
      </w:pPr>
    </w:p>
    <w:p w:rsidR="00786A47" w:rsidRPr="003F153A" w:rsidRDefault="00786A47" w:rsidP="00786A47">
      <w:pPr>
        <w:autoSpaceDE w:val="0"/>
        <w:autoSpaceDN w:val="0"/>
        <w:adjustRightInd w:val="0"/>
        <w:jc w:val="both"/>
        <w:rPr>
          <w:rFonts w:ascii="Arial" w:hAnsi="Arial" w:cs="Arial"/>
          <w:b/>
          <w:bCs/>
          <w:sz w:val="22"/>
          <w:szCs w:val="22"/>
          <w:lang w:val="es-MX"/>
        </w:rPr>
      </w:pPr>
      <w:r w:rsidRPr="003F153A">
        <w:rPr>
          <w:rFonts w:ascii="Arial" w:hAnsi="Arial" w:cs="Arial"/>
          <w:b/>
          <w:bCs/>
          <w:sz w:val="22"/>
          <w:szCs w:val="22"/>
          <w:lang w:val="es-MX"/>
        </w:rPr>
        <w:t>2. ÉTICA MEDIOAMBIENTAL</w:t>
      </w:r>
    </w:p>
    <w:p w:rsidR="00786A47" w:rsidRPr="003F153A" w:rsidRDefault="00786A47" w:rsidP="00786A47">
      <w:pPr>
        <w:autoSpaceDE w:val="0"/>
        <w:autoSpaceDN w:val="0"/>
        <w:adjustRightInd w:val="0"/>
        <w:jc w:val="both"/>
        <w:rPr>
          <w:rFonts w:ascii="Arial" w:hAnsi="Arial" w:cs="Arial"/>
          <w:b/>
          <w:bCs/>
          <w:sz w:val="22"/>
          <w:szCs w:val="22"/>
          <w:lang w:val="es-MX"/>
        </w:rPr>
      </w:pPr>
    </w:p>
    <w:p w:rsidR="00786A47" w:rsidRPr="00786A47" w:rsidRDefault="00786A47" w:rsidP="00786A47">
      <w:pPr>
        <w:autoSpaceDE w:val="0"/>
        <w:autoSpaceDN w:val="0"/>
        <w:adjustRightInd w:val="0"/>
        <w:jc w:val="both"/>
        <w:rPr>
          <w:rFonts w:ascii="Arial" w:hAnsi="Arial" w:cs="Arial"/>
          <w:sz w:val="22"/>
          <w:szCs w:val="22"/>
        </w:rPr>
      </w:pPr>
      <w:r w:rsidRPr="003F153A">
        <w:rPr>
          <w:rFonts w:ascii="Arial" w:hAnsi="Arial" w:cs="Arial"/>
          <w:b/>
          <w:bCs/>
          <w:sz w:val="22"/>
          <w:szCs w:val="22"/>
          <w:lang w:val="es-MX"/>
        </w:rPr>
        <w:t xml:space="preserve">The ethics of energy. </w:t>
      </w:r>
      <w:r w:rsidRPr="00786A47">
        <w:rPr>
          <w:rFonts w:ascii="Arial" w:hAnsi="Arial" w:cs="Arial"/>
          <w:sz w:val="22"/>
          <w:szCs w:val="22"/>
        </w:rPr>
        <w:t>Comisión Mundial de Ética del Conocimiento Científico y la Tecnología. (COMEST) (Jean Audouze). París (Francia), 1997. http://unesdoc.unesco.org/images/0011/001132/113233E.pdf</w:t>
      </w: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b/>
          <w:bCs/>
          <w:sz w:val="22"/>
          <w:szCs w:val="22"/>
          <w:lang w:val="en-US"/>
        </w:rPr>
        <w:t xml:space="preserve">Best ethical practices in water use. </w:t>
      </w:r>
      <w:r w:rsidRPr="00786A47">
        <w:rPr>
          <w:rFonts w:ascii="Arial" w:hAnsi="Arial" w:cs="Arial"/>
          <w:sz w:val="22"/>
          <w:szCs w:val="22"/>
        </w:rPr>
        <w:t>París (Francia), 2004.</w:t>
      </w: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sz w:val="22"/>
          <w:szCs w:val="22"/>
        </w:rPr>
        <w:t>http://unesdoc.unesco.org/images/0013/001344/134430e.pdf</w:t>
      </w:r>
    </w:p>
    <w:p w:rsidR="00786A47" w:rsidRPr="00786A47" w:rsidRDefault="00786A47" w:rsidP="00786A47">
      <w:pPr>
        <w:autoSpaceDE w:val="0"/>
        <w:autoSpaceDN w:val="0"/>
        <w:adjustRightInd w:val="0"/>
        <w:jc w:val="both"/>
        <w:rPr>
          <w:rFonts w:ascii="Arial" w:hAnsi="Arial" w:cs="Arial"/>
          <w:b/>
          <w:bCs/>
          <w:sz w:val="22"/>
          <w:szCs w:val="22"/>
        </w:rPr>
      </w:pP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b/>
          <w:bCs/>
          <w:sz w:val="22"/>
          <w:szCs w:val="22"/>
          <w:lang w:val="en-US"/>
        </w:rPr>
        <w:t xml:space="preserve">Water and ethics. Institutional issues. </w:t>
      </w:r>
      <w:r w:rsidRPr="00786A47">
        <w:rPr>
          <w:rFonts w:ascii="Arial" w:hAnsi="Arial" w:cs="Arial"/>
          <w:sz w:val="22"/>
          <w:szCs w:val="22"/>
        </w:rPr>
        <w:t>París (Francia), 2004.</w:t>
      </w: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sz w:val="22"/>
          <w:szCs w:val="22"/>
        </w:rPr>
        <w:t>http://unesdoc.unesco.org/images/0013/001363/136353e.pdf</w:t>
      </w:r>
    </w:p>
    <w:p w:rsidR="00786A47" w:rsidRPr="00786A47" w:rsidRDefault="00786A47" w:rsidP="00786A47">
      <w:pPr>
        <w:autoSpaceDE w:val="0"/>
        <w:autoSpaceDN w:val="0"/>
        <w:adjustRightInd w:val="0"/>
        <w:jc w:val="both"/>
        <w:rPr>
          <w:rFonts w:ascii="Arial" w:hAnsi="Arial" w:cs="Arial"/>
          <w:b/>
          <w:bCs/>
          <w:sz w:val="22"/>
          <w:szCs w:val="22"/>
        </w:rPr>
      </w:pP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b/>
          <w:bCs/>
          <w:sz w:val="22"/>
          <w:szCs w:val="22"/>
        </w:rPr>
        <w:t xml:space="preserve">Informe del Grupo de expertos sobre el principio precautorio. </w:t>
      </w:r>
      <w:r w:rsidRPr="00786A47">
        <w:rPr>
          <w:rFonts w:ascii="Arial" w:hAnsi="Arial" w:cs="Arial"/>
          <w:sz w:val="22"/>
          <w:szCs w:val="22"/>
        </w:rPr>
        <w:t>COMEST. París (Francia), marzo de 2005. http://unesdoc.unesco.org/images/0013/001395/139578s.pdf</w:t>
      </w:r>
    </w:p>
    <w:p w:rsidR="00786A47" w:rsidRPr="00786A47" w:rsidRDefault="00786A47" w:rsidP="00786A47">
      <w:pPr>
        <w:autoSpaceDE w:val="0"/>
        <w:autoSpaceDN w:val="0"/>
        <w:adjustRightInd w:val="0"/>
        <w:jc w:val="both"/>
        <w:rPr>
          <w:rFonts w:ascii="Arial" w:hAnsi="Arial" w:cs="Arial"/>
          <w:b/>
          <w:bCs/>
          <w:sz w:val="22"/>
          <w:szCs w:val="22"/>
        </w:rPr>
      </w:pPr>
    </w:p>
    <w:p w:rsidR="00786A47" w:rsidRPr="00786A47" w:rsidRDefault="00786A47" w:rsidP="00786A47">
      <w:pPr>
        <w:autoSpaceDE w:val="0"/>
        <w:autoSpaceDN w:val="0"/>
        <w:adjustRightInd w:val="0"/>
        <w:jc w:val="both"/>
        <w:rPr>
          <w:rFonts w:ascii="Arial" w:hAnsi="Arial" w:cs="Arial"/>
          <w:b/>
          <w:bCs/>
          <w:sz w:val="22"/>
          <w:szCs w:val="22"/>
        </w:rPr>
      </w:pPr>
      <w:r w:rsidRPr="00786A47">
        <w:rPr>
          <w:rFonts w:ascii="Arial" w:hAnsi="Arial" w:cs="Arial"/>
          <w:b/>
          <w:bCs/>
          <w:sz w:val="22"/>
          <w:szCs w:val="22"/>
        </w:rPr>
        <w:t>3. ÉTICA DE LA CIENCIA</w:t>
      </w: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b/>
          <w:bCs/>
          <w:sz w:val="22"/>
          <w:szCs w:val="22"/>
        </w:rPr>
        <w:t xml:space="preserve">Avicena y la ética de la ciencia y la tecnología hoy en día. París </w:t>
      </w:r>
      <w:r w:rsidRPr="00786A47">
        <w:rPr>
          <w:rFonts w:ascii="Arial" w:hAnsi="Arial" w:cs="Arial"/>
          <w:sz w:val="22"/>
          <w:szCs w:val="22"/>
        </w:rPr>
        <w:t>(Francia), 2004.</w:t>
      </w: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sz w:val="22"/>
          <w:szCs w:val="22"/>
        </w:rPr>
        <w:t>http://unesdoc.unesco.org/images/0013/001344/134475s.pdf</w:t>
      </w:r>
    </w:p>
    <w:p w:rsidR="00786A47" w:rsidRPr="00786A47" w:rsidRDefault="00786A47" w:rsidP="00786A47">
      <w:pPr>
        <w:autoSpaceDE w:val="0"/>
        <w:autoSpaceDN w:val="0"/>
        <w:adjustRightInd w:val="0"/>
        <w:jc w:val="both"/>
        <w:rPr>
          <w:rFonts w:ascii="Arial" w:hAnsi="Arial" w:cs="Arial"/>
          <w:sz w:val="22"/>
          <w:szCs w:val="22"/>
          <w:lang w:val="en-US"/>
        </w:rPr>
      </w:pPr>
      <w:r w:rsidRPr="00786A47">
        <w:rPr>
          <w:rFonts w:ascii="Arial" w:hAnsi="Arial" w:cs="Arial"/>
          <w:b/>
          <w:bCs/>
          <w:sz w:val="22"/>
          <w:szCs w:val="22"/>
          <w:lang w:val="en-US"/>
        </w:rPr>
        <w:lastRenderedPageBreak/>
        <w:t xml:space="preserve">Ethics of Science and Technology. Explorations on the frontiers of science and ethics. </w:t>
      </w:r>
      <w:r w:rsidRPr="00786A47">
        <w:rPr>
          <w:rFonts w:ascii="Arial" w:hAnsi="Arial" w:cs="Arial"/>
          <w:sz w:val="22"/>
          <w:szCs w:val="22"/>
          <w:lang w:val="en-US"/>
        </w:rPr>
        <w:t>París. (Francia), 2006. http://unesdoc.unesco.org/images/0014/001454/145409e.pdf</w:t>
      </w:r>
    </w:p>
    <w:p w:rsidR="00786A47" w:rsidRPr="00786A47" w:rsidRDefault="00786A47" w:rsidP="00786A47">
      <w:pPr>
        <w:autoSpaceDE w:val="0"/>
        <w:autoSpaceDN w:val="0"/>
        <w:adjustRightInd w:val="0"/>
        <w:jc w:val="both"/>
        <w:rPr>
          <w:rFonts w:ascii="Arial" w:hAnsi="Arial" w:cs="Arial"/>
          <w:b/>
          <w:bCs/>
          <w:sz w:val="22"/>
          <w:szCs w:val="22"/>
          <w:lang w:val="en-US"/>
        </w:rPr>
      </w:pPr>
    </w:p>
    <w:p w:rsidR="00786A47" w:rsidRPr="00786A47" w:rsidRDefault="00786A47" w:rsidP="00786A47">
      <w:pPr>
        <w:autoSpaceDE w:val="0"/>
        <w:autoSpaceDN w:val="0"/>
        <w:adjustRightInd w:val="0"/>
        <w:jc w:val="both"/>
        <w:rPr>
          <w:rFonts w:ascii="Arial" w:hAnsi="Arial" w:cs="Arial"/>
          <w:sz w:val="22"/>
          <w:szCs w:val="22"/>
          <w:lang w:val="en-US"/>
        </w:rPr>
      </w:pPr>
      <w:r w:rsidRPr="00786A47">
        <w:rPr>
          <w:rFonts w:ascii="Arial" w:hAnsi="Arial" w:cs="Arial"/>
          <w:b/>
          <w:bCs/>
          <w:sz w:val="22"/>
          <w:szCs w:val="22"/>
          <w:lang w:val="en-US"/>
        </w:rPr>
        <w:t xml:space="preserve">The Teaching of Ethics. </w:t>
      </w:r>
      <w:r w:rsidRPr="00786A47">
        <w:rPr>
          <w:rFonts w:ascii="Arial" w:hAnsi="Arial" w:cs="Arial"/>
          <w:sz w:val="22"/>
          <w:szCs w:val="22"/>
          <w:lang w:val="en-US"/>
        </w:rPr>
        <w:t>COMEST, 2004</w:t>
      </w:r>
    </w:p>
    <w:p w:rsidR="00786A47" w:rsidRPr="00786A47" w:rsidRDefault="00786A47" w:rsidP="00786A47">
      <w:pPr>
        <w:autoSpaceDE w:val="0"/>
        <w:autoSpaceDN w:val="0"/>
        <w:adjustRightInd w:val="0"/>
        <w:jc w:val="both"/>
        <w:rPr>
          <w:rFonts w:ascii="Arial" w:hAnsi="Arial" w:cs="Arial"/>
          <w:sz w:val="22"/>
          <w:szCs w:val="22"/>
          <w:lang w:val="en-US"/>
        </w:rPr>
      </w:pPr>
      <w:r w:rsidRPr="00786A47">
        <w:rPr>
          <w:rFonts w:ascii="Arial" w:hAnsi="Arial" w:cs="Arial"/>
          <w:sz w:val="22"/>
          <w:szCs w:val="22"/>
          <w:lang w:val="en-US"/>
        </w:rPr>
        <w:t>http://unesdoc.unesco.org/images/0013/001345/134552mb.pdf</w:t>
      </w:r>
    </w:p>
    <w:p w:rsidR="00786A47" w:rsidRPr="00786A47" w:rsidRDefault="00786A47" w:rsidP="00786A47">
      <w:pPr>
        <w:autoSpaceDE w:val="0"/>
        <w:autoSpaceDN w:val="0"/>
        <w:adjustRightInd w:val="0"/>
        <w:jc w:val="both"/>
        <w:rPr>
          <w:rFonts w:ascii="Arial" w:hAnsi="Arial" w:cs="Arial"/>
          <w:b/>
          <w:bCs/>
          <w:sz w:val="22"/>
          <w:szCs w:val="22"/>
          <w:lang w:val="en-US"/>
        </w:rPr>
      </w:pP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b/>
          <w:bCs/>
          <w:sz w:val="22"/>
          <w:szCs w:val="22"/>
        </w:rPr>
        <w:t xml:space="preserve">Declaración sobre la ciencia y el uso del saber científico. </w:t>
      </w:r>
      <w:r w:rsidRPr="00786A47">
        <w:rPr>
          <w:rFonts w:ascii="Arial" w:hAnsi="Arial" w:cs="Arial"/>
          <w:sz w:val="22"/>
          <w:szCs w:val="22"/>
        </w:rPr>
        <w:t>Conferencia Mundial sobre la Ciencia. La Ciencia para el Siglo XXI: un nuevo compromiso (Budapest, Hungría, 26 de junio a 1o de julio de 1999). [UNESCO e ICSU - Consejo Internacional para la Ciencia, 1o de julio de 1999]. http://unesdoc.unesco.org/images/0012/001229/122938eo.pdf</w:t>
      </w:r>
    </w:p>
    <w:p w:rsidR="00786A47" w:rsidRPr="00786A47" w:rsidRDefault="00786A47" w:rsidP="00786A47">
      <w:pPr>
        <w:autoSpaceDE w:val="0"/>
        <w:autoSpaceDN w:val="0"/>
        <w:adjustRightInd w:val="0"/>
        <w:jc w:val="both"/>
        <w:rPr>
          <w:rFonts w:ascii="Arial" w:hAnsi="Arial" w:cs="Arial"/>
          <w:b/>
          <w:bCs/>
          <w:sz w:val="22"/>
          <w:szCs w:val="22"/>
        </w:rPr>
      </w:pP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b/>
          <w:bCs/>
          <w:sz w:val="22"/>
          <w:szCs w:val="22"/>
        </w:rPr>
        <w:t xml:space="preserve">Hacia las sociedades del conocimiento. Informe Mundial de la UNESCO. </w:t>
      </w:r>
      <w:r w:rsidRPr="00786A47">
        <w:rPr>
          <w:rFonts w:ascii="Arial" w:hAnsi="Arial" w:cs="Arial"/>
          <w:sz w:val="22"/>
          <w:szCs w:val="22"/>
        </w:rPr>
        <w:t>París (Francia), 2005. http://unesdoc.unesco.org/images/0014/001418/141843s.pdf</w:t>
      </w: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sz w:val="22"/>
          <w:szCs w:val="22"/>
        </w:rPr>
        <w:t>[ISBN 92-3 304000-3]</w:t>
      </w: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sz w:val="22"/>
          <w:szCs w:val="22"/>
        </w:rPr>
        <w:t>84</w:t>
      </w: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sz w:val="22"/>
          <w:szCs w:val="22"/>
        </w:rPr>
        <w:t>CAPACITACIÓN DE LOS COMITÉS DE BIOÉTICA</w:t>
      </w:r>
    </w:p>
    <w:p w:rsidR="00786A47" w:rsidRPr="00786A47" w:rsidRDefault="00786A47" w:rsidP="00786A47">
      <w:pPr>
        <w:autoSpaceDE w:val="0"/>
        <w:autoSpaceDN w:val="0"/>
        <w:adjustRightInd w:val="0"/>
        <w:jc w:val="both"/>
        <w:rPr>
          <w:rFonts w:ascii="Arial" w:hAnsi="Arial" w:cs="Arial"/>
          <w:b/>
          <w:bCs/>
          <w:sz w:val="22"/>
          <w:szCs w:val="22"/>
        </w:rPr>
      </w:pPr>
    </w:p>
    <w:p w:rsidR="00786A47" w:rsidRPr="00786A47" w:rsidRDefault="00786A47" w:rsidP="00786A47">
      <w:pPr>
        <w:autoSpaceDE w:val="0"/>
        <w:autoSpaceDN w:val="0"/>
        <w:adjustRightInd w:val="0"/>
        <w:jc w:val="both"/>
        <w:rPr>
          <w:rFonts w:ascii="Arial" w:hAnsi="Arial" w:cs="Arial"/>
          <w:b/>
          <w:bCs/>
          <w:sz w:val="22"/>
          <w:szCs w:val="22"/>
        </w:rPr>
      </w:pPr>
      <w:r w:rsidRPr="00786A47">
        <w:rPr>
          <w:rFonts w:ascii="Arial" w:hAnsi="Arial" w:cs="Arial"/>
          <w:b/>
          <w:bCs/>
          <w:sz w:val="22"/>
          <w:szCs w:val="22"/>
        </w:rPr>
        <w:t>4. ÉTICA DE LA TECNOLOGÍA</w:t>
      </w:r>
    </w:p>
    <w:p w:rsidR="00786A47" w:rsidRPr="00786A47" w:rsidRDefault="00786A47" w:rsidP="00786A47">
      <w:pPr>
        <w:autoSpaceDE w:val="0"/>
        <w:autoSpaceDN w:val="0"/>
        <w:adjustRightInd w:val="0"/>
        <w:jc w:val="both"/>
        <w:rPr>
          <w:rFonts w:ascii="Arial" w:hAnsi="Arial" w:cs="Arial"/>
          <w:b/>
          <w:bCs/>
          <w:sz w:val="22"/>
          <w:szCs w:val="22"/>
        </w:rPr>
      </w:pPr>
    </w:p>
    <w:p w:rsidR="00786A47" w:rsidRPr="00786A47" w:rsidRDefault="00786A47" w:rsidP="00786A47">
      <w:pPr>
        <w:autoSpaceDE w:val="0"/>
        <w:autoSpaceDN w:val="0"/>
        <w:adjustRightInd w:val="0"/>
        <w:jc w:val="both"/>
        <w:rPr>
          <w:rFonts w:ascii="Arial" w:hAnsi="Arial" w:cs="Arial"/>
          <w:sz w:val="22"/>
          <w:szCs w:val="22"/>
          <w:lang w:val="en-US"/>
        </w:rPr>
      </w:pPr>
      <w:r w:rsidRPr="003F153A">
        <w:rPr>
          <w:rFonts w:ascii="Arial" w:hAnsi="Arial" w:cs="Arial"/>
          <w:b/>
          <w:bCs/>
          <w:sz w:val="22"/>
          <w:szCs w:val="22"/>
          <w:lang w:val="en-US"/>
        </w:rPr>
        <w:t xml:space="preserve">The ethics of space policy. </w:t>
      </w:r>
      <w:r w:rsidRPr="00786A47">
        <w:rPr>
          <w:rFonts w:ascii="Arial" w:hAnsi="Arial" w:cs="Arial"/>
          <w:b/>
          <w:bCs/>
          <w:sz w:val="22"/>
          <w:szCs w:val="22"/>
          <w:lang w:val="en-US"/>
        </w:rPr>
        <w:t xml:space="preserve">COMEST (Alain Pompidou). </w:t>
      </w:r>
      <w:r w:rsidRPr="00786A47">
        <w:rPr>
          <w:rFonts w:ascii="Arial" w:hAnsi="Arial" w:cs="Arial"/>
          <w:sz w:val="22"/>
          <w:szCs w:val="22"/>
          <w:lang w:val="en-US"/>
        </w:rPr>
        <w:t>Paris (Francia), 2000.</w:t>
      </w:r>
    </w:p>
    <w:p w:rsidR="00786A47" w:rsidRPr="00786A47" w:rsidRDefault="00786A47" w:rsidP="00786A47">
      <w:pPr>
        <w:autoSpaceDE w:val="0"/>
        <w:autoSpaceDN w:val="0"/>
        <w:adjustRightInd w:val="0"/>
        <w:jc w:val="both"/>
        <w:rPr>
          <w:rFonts w:ascii="Arial" w:hAnsi="Arial" w:cs="Arial"/>
          <w:sz w:val="22"/>
          <w:szCs w:val="22"/>
          <w:lang w:val="en-US"/>
        </w:rPr>
      </w:pPr>
      <w:r w:rsidRPr="00786A47">
        <w:rPr>
          <w:rFonts w:ascii="Arial" w:hAnsi="Arial" w:cs="Arial"/>
          <w:sz w:val="22"/>
          <w:szCs w:val="22"/>
          <w:lang w:val="en-US"/>
        </w:rPr>
        <w:t>http://unesdoc.unesco.org/images/0012/001206/120681e.pdf</w:t>
      </w:r>
    </w:p>
    <w:p w:rsidR="00786A47" w:rsidRPr="00786A47" w:rsidRDefault="00786A47" w:rsidP="00786A47">
      <w:pPr>
        <w:autoSpaceDE w:val="0"/>
        <w:autoSpaceDN w:val="0"/>
        <w:adjustRightInd w:val="0"/>
        <w:jc w:val="both"/>
        <w:rPr>
          <w:rFonts w:ascii="Arial" w:hAnsi="Arial" w:cs="Arial"/>
          <w:b/>
          <w:bCs/>
          <w:sz w:val="22"/>
          <w:szCs w:val="22"/>
          <w:lang w:val="en-US"/>
        </w:rPr>
      </w:pP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b/>
          <w:bCs/>
          <w:sz w:val="22"/>
          <w:szCs w:val="22"/>
          <w:lang w:val="en-US"/>
        </w:rPr>
        <w:t xml:space="preserve">Legal and ethical framework for astronauts in space sojourns. </w:t>
      </w:r>
      <w:r w:rsidRPr="00786A47">
        <w:rPr>
          <w:rFonts w:ascii="Arial" w:hAnsi="Arial" w:cs="Arial"/>
          <w:sz w:val="22"/>
          <w:szCs w:val="22"/>
        </w:rPr>
        <w:t>París (Francia), 2005.</w:t>
      </w: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sz w:val="22"/>
          <w:szCs w:val="22"/>
        </w:rPr>
        <w:t>http://unesdoc.unesco.org/images/0013/001397/139752m.pdf</w:t>
      </w:r>
    </w:p>
    <w:p w:rsidR="00786A47" w:rsidRPr="00786A47" w:rsidRDefault="00786A47" w:rsidP="00786A47">
      <w:pPr>
        <w:autoSpaceDE w:val="0"/>
        <w:autoSpaceDN w:val="0"/>
        <w:adjustRightInd w:val="0"/>
        <w:jc w:val="both"/>
        <w:rPr>
          <w:rFonts w:ascii="Arial" w:hAnsi="Arial" w:cs="Arial"/>
          <w:b/>
          <w:bCs/>
          <w:sz w:val="22"/>
          <w:szCs w:val="22"/>
        </w:rPr>
      </w:pPr>
    </w:p>
    <w:p w:rsidR="00786A47" w:rsidRPr="00786A47" w:rsidRDefault="00786A47" w:rsidP="00786A47">
      <w:pPr>
        <w:autoSpaceDE w:val="0"/>
        <w:autoSpaceDN w:val="0"/>
        <w:adjustRightInd w:val="0"/>
        <w:jc w:val="both"/>
        <w:rPr>
          <w:rFonts w:ascii="Arial" w:hAnsi="Arial" w:cs="Arial"/>
          <w:sz w:val="22"/>
          <w:szCs w:val="22"/>
        </w:rPr>
      </w:pPr>
      <w:r w:rsidRPr="00786A47">
        <w:rPr>
          <w:rFonts w:ascii="Arial" w:hAnsi="Arial" w:cs="Arial"/>
          <w:b/>
          <w:bCs/>
          <w:sz w:val="22"/>
          <w:szCs w:val="22"/>
          <w:lang w:val="en-US"/>
        </w:rPr>
        <w:t xml:space="preserve">The ethics and politics of nanotechnology. </w:t>
      </w:r>
      <w:r w:rsidRPr="00786A47">
        <w:rPr>
          <w:rFonts w:ascii="Arial" w:hAnsi="Arial" w:cs="Arial"/>
          <w:sz w:val="22"/>
          <w:szCs w:val="22"/>
        </w:rPr>
        <w:t>París (Francia), 2006.</w:t>
      </w:r>
    </w:p>
    <w:p w:rsidR="00786A47" w:rsidRPr="00786A47" w:rsidRDefault="00CE6147" w:rsidP="00786A47">
      <w:pPr>
        <w:jc w:val="both"/>
        <w:rPr>
          <w:rFonts w:ascii="Arial" w:hAnsi="Arial" w:cs="Arial"/>
          <w:sz w:val="22"/>
          <w:szCs w:val="22"/>
        </w:rPr>
      </w:pPr>
      <w:hyperlink r:id="rId10" w:history="1">
        <w:r w:rsidR="00786A47" w:rsidRPr="00786A47">
          <w:rPr>
            <w:rStyle w:val="Hipervnculo"/>
            <w:rFonts w:ascii="Arial" w:hAnsi="Arial" w:cs="Arial"/>
            <w:color w:val="auto"/>
            <w:sz w:val="22"/>
            <w:szCs w:val="22"/>
          </w:rPr>
          <w:t>http://unesdoc.unesco.org/images/0014/001459/145951e.pdf</w:t>
        </w:r>
      </w:hyperlink>
    </w:p>
    <w:p w:rsidR="0029416C" w:rsidRPr="00786A47" w:rsidRDefault="0029416C" w:rsidP="00786A47">
      <w:pPr>
        <w:jc w:val="both"/>
        <w:rPr>
          <w:rFonts w:ascii="Arial" w:hAnsi="Arial" w:cs="Arial"/>
          <w:sz w:val="22"/>
          <w:szCs w:val="22"/>
        </w:rPr>
      </w:pPr>
    </w:p>
    <w:p w:rsidR="00786A47" w:rsidRPr="00786A47" w:rsidRDefault="00786A47" w:rsidP="00786A47">
      <w:pPr>
        <w:jc w:val="both"/>
        <w:rPr>
          <w:rFonts w:ascii="Arial" w:hAnsi="Arial" w:cs="Arial"/>
          <w:sz w:val="22"/>
          <w:szCs w:val="22"/>
        </w:rPr>
      </w:pPr>
    </w:p>
    <w:p w:rsidR="003E06B5" w:rsidRDefault="00786A47" w:rsidP="00786A47">
      <w:pPr>
        <w:autoSpaceDE w:val="0"/>
        <w:autoSpaceDN w:val="0"/>
        <w:adjustRightInd w:val="0"/>
        <w:jc w:val="both"/>
        <w:rPr>
          <w:rFonts w:ascii="Arial" w:hAnsi="Arial" w:cs="Arial"/>
          <w:b/>
          <w:sz w:val="22"/>
          <w:szCs w:val="22"/>
          <w:lang w:val="es-ES_tradnl"/>
        </w:rPr>
      </w:pPr>
      <w:r>
        <w:rPr>
          <w:rFonts w:ascii="Arial" w:hAnsi="Arial" w:cs="Arial"/>
          <w:b/>
          <w:sz w:val="22"/>
          <w:szCs w:val="22"/>
          <w:lang w:val="es-ES"/>
        </w:rPr>
        <w:t>4</w:t>
      </w:r>
      <w:r w:rsidR="0009225F" w:rsidRPr="00786A47">
        <w:rPr>
          <w:rFonts w:ascii="Arial" w:hAnsi="Arial" w:cs="Arial"/>
          <w:b/>
          <w:sz w:val="22"/>
          <w:szCs w:val="22"/>
          <w:lang w:val="es-ES"/>
        </w:rPr>
        <w:t xml:space="preserve">. </w:t>
      </w:r>
      <w:r w:rsidR="003E06B5" w:rsidRPr="00786A47">
        <w:rPr>
          <w:rFonts w:ascii="Arial" w:hAnsi="Arial" w:cs="Arial"/>
          <w:b/>
          <w:sz w:val="22"/>
          <w:szCs w:val="22"/>
          <w:lang w:val="es-ES_tradnl"/>
        </w:rPr>
        <w:t>REGISTRO DE MODIFICACIONES</w:t>
      </w:r>
      <w:r w:rsidR="00EF4D3E" w:rsidRPr="00786A47">
        <w:rPr>
          <w:rFonts w:ascii="Arial" w:hAnsi="Arial" w:cs="Arial"/>
          <w:b/>
          <w:sz w:val="22"/>
          <w:szCs w:val="22"/>
          <w:lang w:val="es-ES_tradnl"/>
        </w:rPr>
        <w:t>:</w:t>
      </w:r>
    </w:p>
    <w:p w:rsidR="00D81E72" w:rsidRPr="00786A47" w:rsidRDefault="00D81E72" w:rsidP="00786A47">
      <w:pPr>
        <w:autoSpaceDE w:val="0"/>
        <w:autoSpaceDN w:val="0"/>
        <w:adjustRightInd w:val="0"/>
        <w:jc w:val="both"/>
        <w:rPr>
          <w:rFonts w:ascii="Arial" w:hAnsi="Arial" w:cs="Arial"/>
          <w:b/>
          <w:sz w:val="22"/>
          <w:szCs w:val="22"/>
          <w:u w:val="single"/>
          <w:lang w:val="es-ES"/>
        </w:rPr>
      </w:pPr>
    </w:p>
    <w:tbl>
      <w:tblPr>
        <w:tblpPr w:leftFromText="141" w:rightFromText="141" w:vertAnchor="text" w:tblpX="34" w:tblpY="82"/>
        <w:tblW w:w="8781" w:type="dxa"/>
        <w:tblBorders>
          <w:top w:val="single" w:sz="6" w:space="0" w:color="1F497D"/>
          <w:left w:val="single" w:sz="6" w:space="0" w:color="1F497D"/>
          <w:bottom w:val="single" w:sz="6" w:space="0" w:color="1F497D"/>
          <w:right w:val="single" w:sz="6" w:space="0" w:color="1F497D"/>
          <w:insideH w:val="single" w:sz="6" w:space="0" w:color="1F497D"/>
          <w:insideV w:val="single" w:sz="6" w:space="0" w:color="1F497D"/>
        </w:tblBorders>
        <w:tblLayout w:type="fixed"/>
        <w:tblLook w:val="01E0" w:firstRow="1" w:lastRow="1" w:firstColumn="1" w:lastColumn="1" w:noHBand="0" w:noVBand="0"/>
      </w:tblPr>
      <w:tblGrid>
        <w:gridCol w:w="1410"/>
        <w:gridCol w:w="850"/>
        <w:gridCol w:w="1701"/>
        <w:gridCol w:w="4820"/>
      </w:tblGrid>
      <w:tr w:rsidR="00786A47" w:rsidRPr="00786A47" w:rsidTr="00CC66E2">
        <w:trPr>
          <w:trHeight w:val="417"/>
        </w:trPr>
        <w:tc>
          <w:tcPr>
            <w:tcW w:w="1410" w:type="dxa"/>
            <w:tcBorders>
              <w:top w:val="single" w:sz="6" w:space="0" w:color="1F497D"/>
              <w:left w:val="single" w:sz="6" w:space="0" w:color="1F497D"/>
              <w:bottom w:val="single" w:sz="6" w:space="0" w:color="1F497D"/>
              <w:right w:val="single" w:sz="6" w:space="0" w:color="1F497D"/>
            </w:tcBorders>
            <w:shd w:val="solid" w:color="548DD4" w:fill="FFFFFF"/>
            <w:vAlign w:val="center"/>
          </w:tcPr>
          <w:p w:rsidR="003E06B5" w:rsidRPr="00786A47" w:rsidRDefault="003E06B5" w:rsidP="00786A47">
            <w:pPr>
              <w:autoSpaceDE w:val="0"/>
              <w:autoSpaceDN w:val="0"/>
              <w:adjustRightInd w:val="0"/>
              <w:jc w:val="center"/>
              <w:rPr>
                <w:rFonts w:ascii="Arial" w:hAnsi="Arial" w:cs="Arial"/>
                <w:b/>
                <w:bCs/>
                <w:color w:val="FFFFFF" w:themeColor="background1"/>
                <w:sz w:val="20"/>
                <w:szCs w:val="20"/>
                <w:lang w:val="es-ES"/>
              </w:rPr>
            </w:pPr>
            <w:r w:rsidRPr="00786A47">
              <w:rPr>
                <w:rFonts w:ascii="Arial" w:hAnsi="Arial" w:cs="Arial"/>
                <w:b/>
                <w:bCs/>
                <w:color w:val="FFFFFF" w:themeColor="background1"/>
                <w:sz w:val="20"/>
                <w:szCs w:val="20"/>
                <w:lang w:val="es-ES"/>
              </w:rPr>
              <w:t>F</w:t>
            </w:r>
            <w:r w:rsidR="00F93A63" w:rsidRPr="00786A47">
              <w:rPr>
                <w:rFonts w:ascii="Arial" w:hAnsi="Arial" w:cs="Arial"/>
                <w:b/>
                <w:bCs/>
                <w:color w:val="FFFFFF" w:themeColor="background1"/>
                <w:sz w:val="20"/>
                <w:szCs w:val="20"/>
                <w:lang w:val="es-ES"/>
              </w:rPr>
              <w:t>echa</w:t>
            </w:r>
          </w:p>
        </w:tc>
        <w:tc>
          <w:tcPr>
            <w:tcW w:w="850" w:type="dxa"/>
            <w:tcBorders>
              <w:top w:val="single" w:sz="6" w:space="0" w:color="1F497D"/>
              <w:left w:val="single" w:sz="6" w:space="0" w:color="1F497D"/>
              <w:bottom w:val="single" w:sz="6" w:space="0" w:color="1F497D"/>
              <w:right w:val="single" w:sz="6" w:space="0" w:color="1F497D"/>
            </w:tcBorders>
            <w:shd w:val="solid" w:color="548DD4" w:fill="FFFFFF"/>
            <w:vAlign w:val="center"/>
          </w:tcPr>
          <w:p w:rsidR="003E06B5" w:rsidRPr="00786A47" w:rsidRDefault="00CE245F" w:rsidP="00786A47">
            <w:pPr>
              <w:autoSpaceDE w:val="0"/>
              <w:autoSpaceDN w:val="0"/>
              <w:adjustRightInd w:val="0"/>
              <w:jc w:val="center"/>
              <w:rPr>
                <w:rFonts w:ascii="Arial" w:hAnsi="Arial" w:cs="Arial"/>
                <w:b/>
                <w:bCs/>
                <w:color w:val="FFFFFF" w:themeColor="background1"/>
                <w:sz w:val="20"/>
                <w:szCs w:val="20"/>
                <w:lang w:val="es-ES"/>
              </w:rPr>
            </w:pPr>
            <w:r w:rsidRPr="00786A47">
              <w:rPr>
                <w:rFonts w:ascii="Arial" w:hAnsi="Arial" w:cs="Arial"/>
                <w:b/>
                <w:bCs/>
                <w:color w:val="FFFFFF" w:themeColor="background1"/>
                <w:sz w:val="20"/>
                <w:szCs w:val="20"/>
                <w:lang w:val="es-ES"/>
              </w:rPr>
              <w:t>V</w:t>
            </w:r>
            <w:r w:rsidR="00F93A63" w:rsidRPr="00786A47">
              <w:rPr>
                <w:rFonts w:ascii="Arial" w:hAnsi="Arial" w:cs="Arial"/>
                <w:b/>
                <w:bCs/>
                <w:color w:val="FFFFFF" w:themeColor="background1"/>
                <w:sz w:val="20"/>
                <w:szCs w:val="20"/>
                <w:lang w:val="es-ES"/>
              </w:rPr>
              <w:t>ersión</w:t>
            </w:r>
            <w:r w:rsidR="003E06B5" w:rsidRPr="00786A47">
              <w:rPr>
                <w:rFonts w:ascii="Arial" w:hAnsi="Arial" w:cs="Arial"/>
                <w:b/>
                <w:bCs/>
                <w:color w:val="FFFFFF" w:themeColor="background1"/>
                <w:sz w:val="20"/>
                <w:szCs w:val="20"/>
                <w:lang w:val="es-ES"/>
              </w:rPr>
              <w:t>:  No</w:t>
            </w:r>
            <w:r w:rsidR="00F93A63" w:rsidRPr="00786A47">
              <w:rPr>
                <w:rFonts w:ascii="Arial" w:hAnsi="Arial" w:cs="Arial"/>
                <w:b/>
                <w:bCs/>
                <w:color w:val="FFFFFF" w:themeColor="background1"/>
                <w:sz w:val="20"/>
                <w:szCs w:val="20"/>
                <w:lang w:val="es-ES"/>
              </w:rPr>
              <w:t>.</w:t>
            </w:r>
          </w:p>
        </w:tc>
        <w:tc>
          <w:tcPr>
            <w:tcW w:w="1701" w:type="dxa"/>
            <w:tcBorders>
              <w:top w:val="single" w:sz="6" w:space="0" w:color="1F497D"/>
              <w:left w:val="single" w:sz="6" w:space="0" w:color="1F497D"/>
              <w:bottom w:val="single" w:sz="6" w:space="0" w:color="1F497D"/>
              <w:right w:val="single" w:sz="6" w:space="0" w:color="1F497D"/>
            </w:tcBorders>
            <w:shd w:val="solid" w:color="548DD4" w:fill="FFFFFF"/>
            <w:vAlign w:val="center"/>
          </w:tcPr>
          <w:p w:rsidR="003E06B5" w:rsidRPr="00786A47" w:rsidRDefault="003E06B5" w:rsidP="00786A47">
            <w:pPr>
              <w:autoSpaceDE w:val="0"/>
              <w:autoSpaceDN w:val="0"/>
              <w:adjustRightInd w:val="0"/>
              <w:jc w:val="center"/>
              <w:rPr>
                <w:rFonts w:ascii="Arial" w:hAnsi="Arial" w:cs="Arial"/>
                <w:b/>
                <w:bCs/>
                <w:color w:val="FFFFFF" w:themeColor="background1"/>
                <w:sz w:val="20"/>
                <w:szCs w:val="20"/>
                <w:lang w:val="es-ES"/>
              </w:rPr>
            </w:pPr>
            <w:r w:rsidRPr="00786A47">
              <w:rPr>
                <w:rFonts w:ascii="Arial" w:hAnsi="Arial" w:cs="Arial"/>
                <w:b/>
                <w:bCs/>
                <w:color w:val="FFFFFF" w:themeColor="background1"/>
                <w:sz w:val="20"/>
                <w:szCs w:val="20"/>
                <w:lang w:val="es-ES"/>
              </w:rPr>
              <w:t>C</w:t>
            </w:r>
            <w:r w:rsidR="00F93A63" w:rsidRPr="00786A47">
              <w:rPr>
                <w:rFonts w:ascii="Arial" w:hAnsi="Arial" w:cs="Arial"/>
                <w:b/>
                <w:bCs/>
                <w:color w:val="FFFFFF" w:themeColor="background1"/>
                <w:sz w:val="20"/>
                <w:szCs w:val="20"/>
                <w:lang w:val="es-ES"/>
              </w:rPr>
              <w:t>ódigo</w:t>
            </w:r>
          </w:p>
        </w:tc>
        <w:tc>
          <w:tcPr>
            <w:tcW w:w="4820" w:type="dxa"/>
            <w:tcBorders>
              <w:top w:val="single" w:sz="6" w:space="0" w:color="1F497D"/>
              <w:left w:val="single" w:sz="6" w:space="0" w:color="1F497D"/>
              <w:bottom w:val="single" w:sz="6" w:space="0" w:color="1F497D"/>
              <w:right w:val="single" w:sz="6" w:space="0" w:color="1F497D"/>
            </w:tcBorders>
            <w:shd w:val="solid" w:color="548DD4" w:fill="FFFFFF"/>
            <w:vAlign w:val="center"/>
          </w:tcPr>
          <w:p w:rsidR="00833A74" w:rsidRPr="00786A47" w:rsidRDefault="00833A74" w:rsidP="00786A47">
            <w:pPr>
              <w:autoSpaceDE w:val="0"/>
              <w:autoSpaceDN w:val="0"/>
              <w:adjustRightInd w:val="0"/>
              <w:jc w:val="center"/>
              <w:rPr>
                <w:rFonts w:ascii="Arial" w:hAnsi="Arial" w:cs="Arial"/>
                <w:b/>
                <w:bCs/>
                <w:color w:val="FFFFFF" w:themeColor="background1"/>
                <w:sz w:val="20"/>
                <w:szCs w:val="20"/>
                <w:lang w:val="es-ES"/>
              </w:rPr>
            </w:pPr>
          </w:p>
          <w:p w:rsidR="003E06B5" w:rsidRPr="00786A47" w:rsidRDefault="003E06B5" w:rsidP="00786A47">
            <w:pPr>
              <w:autoSpaceDE w:val="0"/>
              <w:autoSpaceDN w:val="0"/>
              <w:adjustRightInd w:val="0"/>
              <w:jc w:val="center"/>
              <w:rPr>
                <w:rFonts w:ascii="Arial" w:hAnsi="Arial" w:cs="Arial"/>
                <w:b/>
                <w:bCs/>
                <w:color w:val="FFFFFF" w:themeColor="background1"/>
                <w:sz w:val="20"/>
                <w:szCs w:val="20"/>
                <w:lang w:val="es-ES"/>
              </w:rPr>
            </w:pPr>
            <w:r w:rsidRPr="00786A47">
              <w:rPr>
                <w:rFonts w:ascii="Arial" w:hAnsi="Arial" w:cs="Arial"/>
                <w:b/>
                <w:bCs/>
                <w:color w:val="FFFFFF" w:themeColor="background1"/>
                <w:sz w:val="20"/>
                <w:szCs w:val="20"/>
                <w:lang w:val="es-ES"/>
              </w:rPr>
              <w:t>M</w:t>
            </w:r>
            <w:r w:rsidR="00F93A63" w:rsidRPr="00786A47">
              <w:rPr>
                <w:rFonts w:ascii="Arial" w:hAnsi="Arial" w:cs="Arial"/>
                <w:b/>
                <w:bCs/>
                <w:color w:val="FFFFFF" w:themeColor="background1"/>
                <w:sz w:val="20"/>
                <w:szCs w:val="20"/>
                <w:lang w:val="es-ES"/>
              </w:rPr>
              <w:t>odificaciones</w:t>
            </w:r>
          </w:p>
          <w:p w:rsidR="003E06B5" w:rsidRPr="00786A47" w:rsidRDefault="003E06B5" w:rsidP="00786A47">
            <w:pPr>
              <w:autoSpaceDE w:val="0"/>
              <w:autoSpaceDN w:val="0"/>
              <w:adjustRightInd w:val="0"/>
              <w:jc w:val="center"/>
              <w:rPr>
                <w:rFonts w:ascii="Arial" w:hAnsi="Arial" w:cs="Arial"/>
                <w:b/>
                <w:bCs/>
                <w:color w:val="FFFFFF" w:themeColor="background1"/>
                <w:sz w:val="20"/>
                <w:szCs w:val="20"/>
                <w:lang w:val="es-ES"/>
              </w:rPr>
            </w:pPr>
          </w:p>
        </w:tc>
      </w:tr>
      <w:tr w:rsidR="00786A47" w:rsidRPr="00786A47" w:rsidTr="00CC66E2">
        <w:trPr>
          <w:trHeight w:val="592"/>
        </w:trPr>
        <w:tc>
          <w:tcPr>
            <w:tcW w:w="1410" w:type="dxa"/>
            <w:tcBorders>
              <w:top w:val="single" w:sz="6" w:space="0" w:color="1F497D"/>
            </w:tcBorders>
            <w:vAlign w:val="center"/>
          </w:tcPr>
          <w:p w:rsidR="00786A47" w:rsidRPr="00786A47" w:rsidRDefault="00786A47" w:rsidP="00786A47">
            <w:pPr>
              <w:autoSpaceDE w:val="0"/>
              <w:autoSpaceDN w:val="0"/>
              <w:adjustRightInd w:val="0"/>
              <w:jc w:val="center"/>
              <w:rPr>
                <w:rFonts w:ascii="Arial" w:hAnsi="Arial" w:cs="Arial"/>
                <w:sz w:val="20"/>
                <w:szCs w:val="20"/>
              </w:rPr>
            </w:pPr>
            <w:r>
              <w:rPr>
                <w:rFonts w:ascii="Arial" w:hAnsi="Arial" w:cs="Arial"/>
                <w:bCs/>
                <w:sz w:val="20"/>
                <w:szCs w:val="20"/>
                <w:lang w:val="es-ES_tradnl"/>
              </w:rPr>
              <w:t>13-12-</w:t>
            </w:r>
            <w:r w:rsidRPr="00786A47">
              <w:rPr>
                <w:rFonts w:ascii="Arial" w:hAnsi="Arial" w:cs="Arial"/>
                <w:bCs/>
                <w:sz w:val="20"/>
                <w:szCs w:val="20"/>
                <w:lang w:val="es-ES_tradnl"/>
              </w:rPr>
              <w:t>2010</w:t>
            </w:r>
          </w:p>
        </w:tc>
        <w:tc>
          <w:tcPr>
            <w:tcW w:w="850" w:type="dxa"/>
            <w:tcBorders>
              <w:top w:val="single" w:sz="6" w:space="0" w:color="1F497D"/>
            </w:tcBorders>
            <w:vAlign w:val="center"/>
          </w:tcPr>
          <w:p w:rsidR="00786A47" w:rsidRPr="00786A47" w:rsidRDefault="00786A47" w:rsidP="00786A47">
            <w:pPr>
              <w:autoSpaceDE w:val="0"/>
              <w:autoSpaceDN w:val="0"/>
              <w:adjustRightInd w:val="0"/>
              <w:jc w:val="center"/>
              <w:rPr>
                <w:rFonts w:ascii="Arial" w:hAnsi="Arial" w:cs="Arial"/>
                <w:sz w:val="20"/>
                <w:szCs w:val="20"/>
              </w:rPr>
            </w:pPr>
            <w:r w:rsidRPr="00786A47">
              <w:rPr>
                <w:rFonts w:ascii="Arial" w:hAnsi="Arial" w:cs="Arial"/>
                <w:sz w:val="20"/>
                <w:szCs w:val="20"/>
              </w:rPr>
              <w:t>0</w:t>
            </w:r>
          </w:p>
        </w:tc>
        <w:tc>
          <w:tcPr>
            <w:tcW w:w="1701" w:type="dxa"/>
            <w:tcBorders>
              <w:top w:val="single" w:sz="6" w:space="0" w:color="1F497D"/>
            </w:tcBorders>
            <w:vAlign w:val="center"/>
          </w:tcPr>
          <w:p w:rsidR="00786A47" w:rsidRPr="00786A47" w:rsidRDefault="00786A47" w:rsidP="00786A47">
            <w:pPr>
              <w:pStyle w:val="Encabezado"/>
              <w:jc w:val="center"/>
              <w:rPr>
                <w:rFonts w:ascii="Arial" w:hAnsi="Arial" w:cs="Arial"/>
                <w:sz w:val="20"/>
                <w:szCs w:val="20"/>
                <w:lang w:val="es-ES_tradnl"/>
              </w:rPr>
            </w:pPr>
            <w:r w:rsidRPr="00786A47">
              <w:rPr>
                <w:rFonts w:ascii="Arial" w:hAnsi="Arial" w:cs="Arial"/>
                <w:sz w:val="20"/>
                <w:szCs w:val="20"/>
                <w:lang w:val="es-ES_tradnl"/>
              </w:rPr>
              <w:t>MM-IV-6-OD-2</w:t>
            </w:r>
          </w:p>
        </w:tc>
        <w:tc>
          <w:tcPr>
            <w:tcW w:w="4820" w:type="dxa"/>
            <w:tcBorders>
              <w:top w:val="single" w:sz="6" w:space="0" w:color="1F497D"/>
            </w:tcBorders>
            <w:vAlign w:val="center"/>
          </w:tcPr>
          <w:p w:rsidR="00786A47" w:rsidRPr="00786A47" w:rsidRDefault="00786A47" w:rsidP="00786A47">
            <w:pPr>
              <w:jc w:val="center"/>
              <w:rPr>
                <w:rFonts w:ascii="Arial" w:hAnsi="Arial"/>
                <w:sz w:val="20"/>
                <w:szCs w:val="20"/>
              </w:rPr>
            </w:pPr>
            <w:r w:rsidRPr="00786A47">
              <w:rPr>
                <w:rFonts w:ascii="Arial" w:hAnsi="Arial"/>
                <w:sz w:val="20"/>
                <w:szCs w:val="20"/>
              </w:rPr>
              <w:t>Elaboración documento Marco ético legal</w:t>
            </w:r>
          </w:p>
          <w:p w:rsidR="00786A47" w:rsidRPr="00786A47" w:rsidRDefault="00786A47" w:rsidP="00786A47">
            <w:pPr>
              <w:jc w:val="center"/>
              <w:rPr>
                <w:rFonts w:ascii="Arial" w:hAnsi="Arial" w:cs="Arial"/>
                <w:bCs/>
                <w:sz w:val="20"/>
                <w:szCs w:val="20"/>
                <w:u w:val="single"/>
              </w:rPr>
            </w:pPr>
            <w:r w:rsidRPr="00786A47">
              <w:rPr>
                <w:rFonts w:ascii="Arial" w:hAnsi="Arial"/>
                <w:sz w:val="20"/>
                <w:szCs w:val="20"/>
              </w:rPr>
              <w:t>Comité de ética para la investigación científica</w:t>
            </w:r>
          </w:p>
          <w:p w:rsidR="00786A47" w:rsidRPr="00786A47" w:rsidRDefault="00786A47" w:rsidP="00786A47">
            <w:pPr>
              <w:autoSpaceDE w:val="0"/>
              <w:autoSpaceDN w:val="0"/>
              <w:adjustRightInd w:val="0"/>
              <w:jc w:val="both"/>
              <w:rPr>
                <w:rFonts w:ascii="Arial" w:hAnsi="Arial" w:cs="Arial"/>
                <w:bCs/>
                <w:sz w:val="20"/>
                <w:szCs w:val="20"/>
              </w:rPr>
            </w:pPr>
          </w:p>
        </w:tc>
      </w:tr>
      <w:tr w:rsidR="00786A47" w:rsidRPr="00786A47" w:rsidTr="00CC66E2">
        <w:trPr>
          <w:trHeight w:val="269"/>
        </w:trPr>
        <w:tc>
          <w:tcPr>
            <w:tcW w:w="1410" w:type="dxa"/>
            <w:tcBorders>
              <w:top w:val="single" w:sz="6" w:space="0" w:color="1F497D"/>
            </w:tcBorders>
            <w:vAlign w:val="center"/>
          </w:tcPr>
          <w:p w:rsidR="0084401D" w:rsidRPr="00786A47" w:rsidRDefault="006021D9" w:rsidP="00786A47">
            <w:pPr>
              <w:autoSpaceDE w:val="0"/>
              <w:autoSpaceDN w:val="0"/>
              <w:adjustRightInd w:val="0"/>
              <w:jc w:val="center"/>
              <w:rPr>
                <w:rFonts w:ascii="Arial" w:hAnsi="Arial" w:cs="Arial"/>
                <w:sz w:val="20"/>
                <w:szCs w:val="20"/>
              </w:rPr>
            </w:pPr>
            <w:r w:rsidRPr="00786A47">
              <w:rPr>
                <w:rFonts w:ascii="Arial" w:hAnsi="Arial" w:cs="Arial"/>
                <w:sz w:val="20"/>
                <w:szCs w:val="20"/>
              </w:rPr>
              <w:t>04-09-2015</w:t>
            </w:r>
          </w:p>
        </w:tc>
        <w:tc>
          <w:tcPr>
            <w:tcW w:w="850" w:type="dxa"/>
            <w:tcBorders>
              <w:top w:val="single" w:sz="6" w:space="0" w:color="1F497D"/>
            </w:tcBorders>
            <w:vAlign w:val="center"/>
          </w:tcPr>
          <w:p w:rsidR="0084401D" w:rsidRPr="00786A47" w:rsidRDefault="0084401D" w:rsidP="00786A47">
            <w:pPr>
              <w:autoSpaceDE w:val="0"/>
              <w:autoSpaceDN w:val="0"/>
              <w:adjustRightInd w:val="0"/>
              <w:jc w:val="center"/>
              <w:rPr>
                <w:rFonts w:ascii="Arial" w:hAnsi="Arial" w:cs="Arial"/>
                <w:sz w:val="20"/>
                <w:szCs w:val="20"/>
              </w:rPr>
            </w:pPr>
            <w:r w:rsidRPr="00786A47">
              <w:rPr>
                <w:rFonts w:ascii="Arial" w:hAnsi="Arial" w:cs="Arial"/>
                <w:sz w:val="20"/>
                <w:szCs w:val="20"/>
              </w:rPr>
              <w:t>1</w:t>
            </w:r>
          </w:p>
        </w:tc>
        <w:tc>
          <w:tcPr>
            <w:tcW w:w="1701" w:type="dxa"/>
            <w:tcBorders>
              <w:top w:val="single" w:sz="6" w:space="0" w:color="1F497D"/>
            </w:tcBorders>
            <w:vAlign w:val="center"/>
          </w:tcPr>
          <w:p w:rsidR="0084401D" w:rsidRPr="00786A47" w:rsidRDefault="00786A47" w:rsidP="00786A47">
            <w:pPr>
              <w:pStyle w:val="Ttulo1"/>
              <w:framePr w:hSpace="0" w:wrap="auto" w:vAnchor="margin" w:xAlign="left" w:yAlign="inline"/>
              <w:rPr>
                <w:b w:val="0"/>
                <w:color w:val="auto"/>
                <w:sz w:val="20"/>
                <w:szCs w:val="20"/>
              </w:rPr>
            </w:pPr>
            <w:r>
              <w:rPr>
                <w:rFonts w:eastAsiaTheme="minorHAnsi"/>
                <w:b w:val="0"/>
                <w:color w:val="auto"/>
                <w:sz w:val="20"/>
                <w:szCs w:val="20"/>
                <w:lang w:val="es-CO"/>
              </w:rPr>
              <w:t>PM-IV-6.1-OD</w:t>
            </w:r>
            <w:r w:rsidR="008338D5" w:rsidRPr="00786A47">
              <w:rPr>
                <w:rFonts w:eastAsiaTheme="minorHAnsi"/>
                <w:b w:val="0"/>
                <w:color w:val="auto"/>
                <w:sz w:val="20"/>
                <w:szCs w:val="20"/>
                <w:lang w:val="es-CO"/>
              </w:rPr>
              <w:t>-</w:t>
            </w:r>
            <w:r>
              <w:rPr>
                <w:rFonts w:eastAsiaTheme="minorHAnsi"/>
                <w:b w:val="0"/>
                <w:color w:val="auto"/>
                <w:sz w:val="20"/>
                <w:szCs w:val="20"/>
                <w:lang w:val="es-CO"/>
              </w:rPr>
              <w:t>2</w:t>
            </w:r>
          </w:p>
        </w:tc>
        <w:tc>
          <w:tcPr>
            <w:tcW w:w="4820" w:type="dxa"/>
            <w:tcBorders>
              <w:top w:val="single" w:sz="6" w:space="0" w:color="1F497D"/>
            </w:tcBorders>
            <w:vAlign w:val="center"/>
          </w:tcPr>
          <w:p w:rsidR="0084401D" w:rsidRPr="00786A47" w:rsidRDefault="00786A47" w:rsidP="00786A47">
            <w:pPr>
              <w:autoSpaceDE w:val="0"/>
              <w:autoSpaceDN w:val="0"/>
              <w:adjustRightInd w:val="0"/>
              <w:jc w:val="center"/>
              <w:rPr>
                <w:rFonts w:ascii="Arial" w:hAnsi="Arial" w:cs="Arial"/>
                <w:bCs/>
                <w:sz w:val="20"/>
                <w:szCs w:val="20"/>
              </w:rPr>
            </w:pPr>
            <w:r w:rsidRPr="00786A47">
              <w:rPr>
                <w:rFonts w:ascii="Arial" w:eastAsiaTheme="minorHAnsi" w:hAnsi="Arial" w:cs="Arial"/>
                <w:sz w:val="20"/>
                <w:szCs w:val="20"/>
              </w:rPr>
              <w:t>Actualización del código y del formato de caracterización del documento.</w:t>
            </w:r>
          </w:p>
        </w:tc>
      </w:tr>
    </w:tbl>
    <w:p w:rsidR="007C264E" w:rsidRPr="00786A47" w:rsidRDefault="007C264E" w:rsidP="00786A47">
      <w:pPr>
        <w:tabs>
          <w:tab w:val="left" w:pos="1624"/>
        </w:tabs>
        <w:jc w:val="both"/>
        <w:rPr>
          <w:rFonts w:ascii="Arial" w:hAnsi="Arial" w:cs="Arial"/>
          <w:sz w:val="22"/>
          <w:szCs w:val="22"/>
          <w:lang w:val="es-ES"/>
        </w:rPr>
      </w:pPr>
    </w:p>
    <w:p w:rsidR="007C264E" w:rsidRDefault="007C264E" w:rsidP="00786A47">
      <w:pPr>
        <w:tabs>
          <w:tab w:val="left" w:pos="1624"/>
        </w:tabs>
        <w:jc w:val="both"/>
        <w:rPr>
          <w:rFonts w:ascii="Arial" w:hAnsi="Arial" w:cs="Arial"/>
          <w:sz w:val="22"/>
          <w:szCs w:val="22"/>
          <w:lang w:val="es-ES"/>
        </w:rPr>
      </w:pPr>
    </w:p>
    <w:p w:rsidR="00D81E72" w:rsidRDefault="00D81E72" w:rsidP="00786A47">
      <w:pPr>
        <w:tabs>
          <w:tab w:val="left" w:pos="1624"/>
        </w:tabs>
        <w:jc w:val="both"/>
        <w:rPr>
          <w:rFonts w:ascii="Arial" w:hAnsi="Arial" w:cs="Arial"/>
          <w:sz w:val="22"/>
          <w:szCs w:val="22"/>
          <w:lang w:val="es-ES"/>
        </w:rPr>
      </w:pPr>
    </w:p>
    <w:p w:rsidR="00D81E72" w:rsidRDefault="00D81E72" w:rsidP="00786A47">
      <w:pPr>
        <w:tabs>
          <w:tab w:val="left" w:pos="1624"/>
        </w:tabs>
        <w:jc w:val="both"/>
        <w:rPr>
          <w:rFonts w:ascii="Arial" w:hAnsi="Arial" w:cs="Arial"/>
          <w:sz w:val="22"/>
          <w:szCs w:val="22"/>
          <w:lang w:val="es-ES"/>
        </w:rPr>
      </w:pPr>
    </w:p>
    <w:p w:rsidR="00D81E72" w:rsidRDefault="00D81E72" w:rsidP="00786A47">
      <w:pPr>
        <w:tabs>
          <w:tab w:val="left" w:pos="1624"/>
        </w:tabs>
        <w:jc w:val="both"/>
        <w:rPr>
          <w:rFonts w:ascii="Arial" w:hAnsi="Arial" w:cs="Arial"/>
          <w:sz w:val="22"/>
          <w:szCs w:val="22"/>
          <w:lang w:val="es-ES"/>
        </w:rPr>
      </w:pPr>
    </w:p>
    <w:p w:rsidR="00D81E72" w:rsidRDefault="00D81E72" w:rsidP="00786A47">
      <w:pPr>
        <w:tabs>
          <w:tab w:val="left" w:pos="1624"/>
        </w:tabs>
        <w:jc w:val="both"/>
        <w:rPr>
          <w:rFonts w:ascii="Arial" w:hAnsi="Arial" w:cs="Arial"/>
          <w:sz w:val="22"/>
          <w:szCs w:val="22"/>
          <w:lang w:val="es-ES"/>
        </w:rPr>
      </w:pPr>
      <w:bookmarkStart w:id="24" w:name="_GoBack"/>
      <w:bookmarkEnd w:id="24"/>
    </w:p>
    <w:p w:rsidR="00D81E72" w:rsidRDefault="00D81E72" w:rsidP="00786A47">
      <w:pPr>
        <w:tabs>
          <w:tab w:val="left" w:pos="1624"/>
        </w:tabs>
        <w:jc w:val="both"/>
        <w:rPr>
          <w:rFonts w:ascii="Arial" w:hAnsi="Arial" w:cs="Arial"/>
          <w:sz w:val="22"/>
          <w:szCs w:val="22"/>
          <w:lang w:val="es-ES"/>
        </w:rPr>
      </w:pPr>
    </w:p>
    <w:p w:rsidR="00D81E72" w:rsidRDefault="00D81E72" w:rsidP="00786A47">
      <w:pPr>
        <w:tabs>
          <w:tab w:val="left" w:pos="1624"/>
        </w:tabs>
        <w:jc w:val="both"/>
        <w:rPr>
          <w:rFonts w:ascii="Arial" w:hAnsi="Arial" w:cs="Arial"/>
          <w:sz w:val="22"/>
          <w:szCs w:val="22"/>
          <w:lang w:val="es-ES"/>
        </w:rPr>
      </w:pPr>
    </w:p>
    <w:p w:rsidR="00D81E72" w:rsidRPr="00786A47" w:rsidRDefault="00D81E72" w:rsidP="00786A47">
      <w:pPr>
        <w:tabs>
          <w:tab w:val="left" w:pos="1624"/>
        </w:tabs>
        <w:jc w:val="both"/>
        <w:rPr>
          <w:rFonts w:ascii="Arial" w:hAnsi="Arial" w:cs="Arial"/>
          <w:sz w:val="22"/>
          <w:szCs w:val="22"/>
          <w:lang w:val="es-ES"/>
        </w:rPr>
      </w:pPr>
    </w:p>
    <w:tbl>
      <w:tblPr>
        <w:tblW w:w="5056"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4667"/>
        <w:gridCol w:w="4260"/>
      </w:tblGrid>
      <w:tr w:rsidR="00786A47" w:rsidRPr="00786A47" w:rsidTr="00CC66E2">
        <w:trPr>
          <w:trHeight w:val="318"/>
        </w:trPr>
        <w:tc>
          <w:tcPr>
            <w:tcW w:w="2614" w:type="pct"/>
            <w:tcBorders>
              <w:top w:val="single" w:sz="4" w:space="0" w:color="17365D"/>
              <w:left w:val="single" w:sz="4" w:space="0" w:color="17365D"/>
              <w:bottom w:val="single" w:sz="4" w:space="0" w:color="17365D"/>
              <w:right w:val="single" w:sz="4" w:space="0" w:color="1F497D"/>
            </w:tcBorders>
            <w:shd w:val="clear" w:color="auto" w:fill="548DD4"/>
            <w:hideMark/>
          </w:tcPr>
          <w:p w:rsidR="007C264E" w:rsidRPr="00786A47" w:rsidRDefault="007C264E" w:rsidP="00786A47">
            <w:pPr>
              <w:autoSpaceDE w:val="0"/>
              <w:autoSpaceDN w:val="0"/>
              <w:adjustRightInd w:val="0"/>
              <w:spacing w:line="276" w:lineRule="auto"/>
              <w:jc w:val="center"/>
              <w:rPr>
                <w:rFonts w:ascii="Arial" w:hAnsi="Arial" w:cs="Arial"/>
                <w:b/>
                <w:color w:val="FFFFFF" w:themeColor="background1"/>
                <w:sz w:val="20"/>
                <w:szCs w:val="20"/>
                <w:lang w:val="es-ES"/>
              </w:rPr>
            </w:pPr>
            <w:r w:rsidRPr="00786A47">
              <w:rPr>
                <w:rFonts w:ascii="Arial" w:hAnsi="Arial" w:cs="Arial"/>
                <w:b/>
                <w:color w:val="FFFFFF" w:themeColor="background1"/>
                <w:sz w:val="20"/>
                <w:szCs w:val="20"/>
                <w:lang w:val="es-ES"/>
              </w:rPr>
              <w:t>ELABORACIÓN</w:t>
            </w:r>
          </w:p>
        </w:tc>
        <w:tc>
          <w:tcPr>
            <w:tcW w:w="2386" w:type="pct"/>
            <w:tcBorders>
              <w:top w:val="single" w:sz="4" w:space="0" w:color="17365D"/>
              <w:left w:val="single" w:sz="4" w:space="0" w:color="1F497D"/>
              <w:bottom w:val="single" w:sz="4" w:space="0" w:color="17365D"/>
              <w:right w:val="single" w:sz="4" w:space="0" w:color="1F497D"/>
            </w:tcBorders>
            <w:shd w:val="clear" w:color="auto" w:fill="548DD4"/>
            <w:hideMark/>
          </w:tcPr>
          <w:p w:rsidR="007C264E" w:rsidRPr="00786A47" w:rsidRDefault="007C264E" w:rsidP="00786A47">
            <w:pPr>
              <w:autoSpaceDE w:val="0"/>
              <w:autoSpaceDN w:val="0"/>
              <w:adjustRightInd w:val="0"/>
              <w:spacing w:line="276" w:lineRule="auto"/>
              <w:jc w:val="center"/>
              <w:rPr>
                <w:rFonts w:ascii="Arial" w:hAnsi="Arial" w:cs="Arial"/>
                <w:b/>
                <w:color w:val="FFFFFF" w:themeColor="background1"/>
                <w:sz w:val="20"/>
                <w:szCs w:val="20"/>
                <w:lang w:val="es-ES"/>
              </w:rPr>
            </w:pPr>
            <w:r w:rsidRPr="00786A47">
              <w:rPr>
                <w:rFonts w:ascii="Arial" w:hAnsi="Arial" w:cs="Arial"/>
                <w:b/>
                <w:color w:val="FFFFFF" w:themeColor="background1"/>
                <w:sz w:val="20"/>
                <w:szCs w:val="20"/>
                <w:lang w:val="es-ES"/>
              </w:rPr>
              <w:t>REVISIÓN</w:t>
            </w:r>
          </w:p>
        </w:tc>
      </w:tr>
      <w:tr w:rsidR="00786A47" w:rsidRPr="00786A47" w:rsidTr="00CC66E2">
        <w:trPr>
          <w:trHeight w:val="435"/>
        </w:trPr>
        <w:tc>
          <w:tcPr>
            <w:tcW w:w="2614" w:type="pct"/>
            <w:tcBorders>
              <w:top w:val="single" w:sz="4" w:space="0" w:color="17365D"/>
              <w:left w:val="single" w:sz="4" w:space="0" w:color="1F497D"/>
              <w:bottom w:val="single" w:sz="4" w:space="0" w:color="1F497D"/>
              <w:right w:val="single" w:sz="4" w:space="0" w:color="1F497D"/>
            </w:tcBorders>
          </w:tcPr>
          <w:p w:rsidR="007C264E" w:rsidRPr="00786A47" w:rsidRDefault="007C264E" w:rsidP="00786A47">
            <w:pPr>
              <w:tabs>
                <w:tab w:val="num" w:pos="780"/>
              </w:tabs>
              <w:autoSpaceDE w:val="0"/>
              <w:autoSpaceDN w:val="0"/>
              <w:adjustRightInd w:val="0"/>
              <w:spacing w:line="276" w:lineRule="auto"/>
              <w:jc w:val="both"/>
              <w:rPr>
                <w:rFonts w:ascii="Arial" w:hAnsi="Arial" w:cs="Arial"/>
                <w:b/>
                <w:sz w:val="20"/>
                <w:szCs w:val="20"/>
                <w:lang w:val="es-ES"/>
              </w:rPr>
            </w:pPr>
            <w:r w:rsidRPr="00786A47">
              <w:rPr>
                <w:rFonts w:ascii="Arial" w:hAnsi="Arial" w:cs="Arial"/>
                <w:b/>
                <w:sz w:val="20"/>
                <w:szCs w:val="20"/>
                <w:lang w:val="es-ES"/>
              </w:rPr>
              <w:t xml:space="preserve"> </w:t>
            </w:r>
          </w:p>
          <w:p w:rsidR="007C264E" w:rsidRPr="00786A47" w:rsidRDefault="007C264E" w:rsidP="00786A47">
            <w:pPr>
              <w:tabs>
                <w:tab w:val="num" w:pos="780"/>
              </w:tabs>
              <w:autoSpaceDE w:val="0"/>
              <w:autoSpaceDN w:val="0"/>
              <w:adjustRightInd w:val="0"/>
              <w:spacing w:line="276" w:lineRule="auto"/>
              <w:jc w:val="both"/>
              <w:rPr>
                <w:rFonts w:ascii="Arial" w:hAnsi="Arial" w:cs="Arial"/>
                <w:b/>
                <w:sz w:val="20"/>
                <w:szCs w:val="20"/>
                <w:lang w:val="es-ES"/>
              </w:rPr>
            </w:pPr>
          </w:p>
          <w:p w:rsidR="007C264E" w:rsidRPr="00786A47" w:rsidRDefault="007C264E" w:rsidP="00786A47">
            <w:pPr>
              <w:tabs>
                <w:tab w:val="num" w:pos="780"/>
              </w:tabs>
              <w:autoSpaceDE w:val="0"/>
              <w:autoSpaceDN w:val="0"/>
              <w:adjustRightInd w:val="0"/>
              <w:spacing w:line="276" w:lineRule="auto"/>
              <w:jc w:val="both"/>
              <w:rPr>
                <w:rFonts w:ascii="Arial" w:hAnsi="Arial" w:cs="Arial"/>
                <w:b/>
                <w:sz w:val="20"/>
                <w:szCs w:val="20"/>
                <w:lang w:val="es-ES"/>
              </w:rPr>
            </w:pPr>
          </w:p>
          <w:p w:rsidR="007C264E" w:rsidRPr="00786A47" w:rsidRDefault="007C264E" w:rsidP="00786A47">
            <w:pPr>
              <w:tabs>
                <w:tab w:val="num" w:pos="780"/>
              </w:tabs>
              <w:autoSpaceDE w:val="0"/>
              <w:autoSpaceDN w:val="0"/>
              <w:adjustRightInd w:val="0"/>
              <w:spacing w:line="276" w:lineRule="auto"/>
              <w:jc w:val="both"/>
              <w:rPr>
                <w:rFonts w:ascii="Arial" w:hAnsi="Arial" w:cs="Arial"/>
                <w:b/>
                <w:sz w:val="20"/>
                <w:szCs w:val="20"/>
                <w:lang w:val="es-ES"/>
              </w:rPr>
            </w:pPr>
          </w:p>
        </w:tc>
        <w:tc>
          <w:tcPr>
            <w:tcW w:w="2386" w:type="pct"/>
            <w:tcBorders>
              <w:top w:val="single" w:sz="4" w:space="0" w:color="17365D"/>
              <w:left w:val="single" w:sz="4" w:space="0" w:color="1F497D"/>
              <w:bottom w:val="single" w:sz="4" w:space="0" w:color="1F497D"/>
              <w:right w:val="single" w:sz="4" w:space="0" w:color="1F497D"/>
            </w:tcBorders>
          </w:tcPr>
          <w:p w:rsidR="007C264E" w:rsidRPr="00786A47" w:rsidRDefault="007C264E" w:rsidP="00786A47">
            <w:pPr>
              <w:tabs>
                <w:tab w:val="num" w:pos="780"/>
              </w:tabs>
              <w:autoSpaceDE w:val="0"/>
              <w:autoSpaceDN w:val="0"/>
              <w:adjustRightInd w:val="0"/>
              <w:spacing w:line="276" w:lineRule="auto"/>
              <w:jc w:val="both"/>
              <w:rPr>
                <w:rFonts w:ascii="Arial" w:hAnsi="Arial" w:cs="Arial"/>
                <w:b/>
                <w:sz w:val="20"/>
                <w:szCs w:val="20"/>
                <w:lang w:val="es-ES"/>
              </w:rPr>
            </w:pPr>
          </w:p>
          <w:p w:rsidR="007C264E" w:rsidRPr="00786A47" w:rsidRDefault="007C264E" w:rsidP="00786A47">
            <w:pPr>
              <w:tabs>
                <w:tab w:val="num" w:pos="780"/>
              </w:tabs>
              <w:autoSpaceDE w:val="0"/>
              <w:autoSpaceDN w:val="0"/>
              <w:adjustRightInd w:val="0"/>
              <w:spacing w:line="276" w:lineRule="auto"/>
              <w:jc w:val="both"/>
              <w:rPr>
                <w:rFonts w:ascii="Arial" w:hAnsi="Arial" w:cs="Arial"/>
                <w:b/>
                <w:sz w:val="20"/>
                <w:szCs w:val="20"/>
                <w:lang w:val="es-ES"/>
              </w:rPr>
            </w:pPr>
          </w:p>
          <w:p w:rsidR="007C264E" w:rsidRPr="00786A47" w:rsidRDefault="007C264E" w:rsidP="00786A47">
            <w:pPr>
              <w:tabs>
                <w:tab w:val="num" w:pos="780"/>
              </w:tabs>
              <w:autoSpaceDE w:val="0"/>
              <w:autoSpaceDN w:val="0"/>
              <w:adjustRightInd w:val="0"/>
              <w:spacing w:line="276" w:lineRule="auto"/>
              <w:jc w:val="both"/>
              <w:rPr>
                <w:rFonts w:ascii="Arial" w:hAnsi="Arial" w:cs="Arial"/>
                <w:b/>
                <w:sz w:val="20"/>
                <w:szCs w:val="20"/>
                <w:lang w:val="es-ES"/>
              </w:rPr>
            </w:pPr>
          </w:p>
          <w:p w:rsidR="007C264E" w:rsidRPr="00786A47" w:rsidRDefault="007C264E" w:rsidP="00786A47">
            <w:pPr>
              <w:tabs>
                <w:tab w:val="num" w:pos="780"/>
              </w:tabs>
              <w:autoSpaceDE w:val="0"/>
              <w:autoSpaceDN w:val="0"/>
              <w:adjustRightInd w:val="0"/>
              <w:spacing w:line="276" w:lineRule="auto"/>
              <w:jc w:val="both"/>
              <w:rPr>
                <w:rFonts w:ascii="Arial" w:hAnsi="Arial" w:cs="Arial"/>
                <w:b/>
                <w:sz w:val="20"/>
                <w:szCs w:val="20"/>
                <w:lang w:val="es-ES"/>
              </w:rPr>
            </w:pPr>
          </w:p>
          <w:p w:rsidR="007C264E" w:rsidRPr="00786A47" w:rsidRDefault="007C264E" w:rsidP="00786A47">
            <w:pPr>
              <w:tabs>
                <w:tab w:val="num" w:pos="780"/>
              </w:tabs>
              <w:autoSpaceDE w:val="0"/>
              <w:autoSpaceDN w:val="0"/>
              <w:adjustRightInd w:val="0"/>
              <w:spacing w:line="276" w:lineRule="auto"/>
              <w:jc w:val="both"/>
              <w:rPr>
                <w:rFonts w:ascii="Arial" w:hAnsi="Arial" w:cs="Arial"/>
                <w:b/>
                <w:sz w:val="20"/>
                <w:szCs w:val="20"/>
                <w:lang w:val="es-ES"/>
              </w:rPr>
            </w:pPr>
          </w:p>
        </w:tc>
      </w:tr>
      <w:tr w:rsidR="00786A47" w:rsidRPr="00786A47" w:rsidTr="00CC66E2">
        <w:trPr>
          <w:trHeight w:val="293"/>
        </w:trPr>
        <w:tc>
          <w:tcPr>
            <w:tcW w:w="2614" w:type="pct"/>
            <w:vMerge w:val="restart"/>
            <w:tcBorders>
              <w:top w:val="single" w:sz="4" w:space="0" w:color="1F497D"/>
              <w:left w:val="single" w:sz="4" w:space="0" w:color="1F497D"/>
              <w:right w:val="single" w:sz="4" w:space="0" w:color="1F497D"/>
            </w:tcBorders>
            <w:hideMark/>
          </w:tcPr>
          <w:p w:rsidR="007C264E" w:rsidRPr="00786A47" w:rsidRDefault="007C264E" w:rsidP="00786A47">
            <w:pPr>
              <w:tabs>
                <w:tab w:val="num" w:pos="780"/>
              </w:tabs>
              <w:autoSpaceDE w:val="0"/>
              <w:autoSpaceDN w:val="0"/>
              <w:adjustRightInd w:val="0"/>
              <w:spacing w:line="276" w:lineRule="auto"/>
              <w:jc w:val="both"/>
              <w:rPr>
                <w:rFonts w:ascii="Arial" w:hAnsi="Arial" w:cs="Arial"/>
                <w:sz w:val="20"/>
                <w:szCs w:val="20"/>
                <w:lang w:val="es-ES"/>
              </w:rPr>
            </w:pPr>
            <w:r w:rsidRPr="00786A47">
              <w:rPr>
                <w:rFonts w:ascii="Arial" w:hAnsi="Arial" w:cs="Arial"/>
                <w:sz w:val="20"/>
                <w:szCs w:val="20"/>
                <w:lang w:val="es-ES"/>
              </w:rPr>
              <w:t>Nombre:</w:t>
            </w:r>
          </w:p>
        </w:tc>
        <w:tc>
          <w:tcPr>
            <w:tcW w:w="2386" w:type="pct"/>
            <w:tcBorders>
              <w:top w:val="single" w:sz="4" w:space="0" w:color="1F497D"/>
              <w:left w:val="single" w:sz="4" w:space="0" w:color="1F497D"/>
              <w:bottom w:val="single" w:sz="4" w:space="0" w:color="1F497D"/>
              <w:right w:val="single" w:sz="4" w:space="0" w:color="1F497D"/>
            </w:tcBorders>
            <w:vAlign w:val="center"/>
            <w:hideMark/>
          </w:tcPr>
          <w:p w:rsidR="007C264E" w:rsidRPr="00786A47" w:rsidRDefault="007C264E" w:rsidP="00786A47">
            <w:pPr>
              <w:tabs>
                <w:tab w:val="num" w:pos="780"/>
              </w:tabs>
              <w:autoSpaceDE w:val="0"/>
              <w:autoSpaceDN w:val="0"/>
              <w:adjustRightInd w:val="0"/>
              <w:spacing w:line="276" w:lineRule="auto"/>
              <w:jc w:val="both"/>
              <w:rPr>
                <w:rFonts w:ascii="Arial" w:hAnsi="Arial" w:cs="Arial"/>
                <w:b/>
                <w:sz w:val="20"/>
                <w:szCs w:val="20"/>
                <w:lang w:val="es-ES"/>
              </w:rPr>
            </w:pPr>
            <w:r w:rsidRPr="00786A47">
              <w:rPr>
                <w:rFonts w:ascii="Arial" w:hAnsi="Arial" w:cs="Arial"/>
                <w:sz w:val="20"/>
                <w:szCs w:val="20"/>
                <w:lang w:val="es-ES"/>
              </w:rPr>
              <w:t>Nombre:</w:t>
            </w:r>
          </w:p>
        </w:tc>
      </w:tr>
      <w:tr w:rsidR="00786A47" w:rsidRPr="00786A47" w:rsidTr="00CC66E2">
        <w:trPr>
          <w:trHeight w:val="293"/>
        </w:trPr>
        <w:tc>
          <w:tcPr>
            <w:tcW w:w="2614" w:type="pct"/>
            <w:vMerge/>
            <w:tcBorders>
              <w:left w:val="single" w:sz="4" w:space="0" w:color="1F497D"/>
              <w:bottom w:val="single" w:sz="4" w:space="0" w:color="1F497D"/>
              <w:right w:val="single" w:sz="4" w:space="0" w:color="1F497D"/>
            </w:tcBorders>
          </w:tcPr>
          <w:p w:rsidR="007C264E" w:rsidRPr="00786A47" w:rsidRDefault="007C264E" w:rsidP="00786A47">
            <w:pPr>
              <w:tabs>
                <w:tab w:val="num" w:pos="780"/>
              </w:tabs>
              <w:autoSpaceDE w:val="0"/>
              <w:autoSpaceDN w:val="0"/>
              <w:adjustRightInd w:val="0"/>
              <w:spacing w:line="276" w:lineRule="auto"/>
              <w:jc w:val="both"/>
              <w:rPr>
                <w:rFonts w:ascii="Arial" w:hAnsi="Arial" w:cs="Arial"/>
                <w:sz w:val="20"/>
                <w:szCs w:val="20"/>
                <w:lang w:val="es-ES"/>
              </w:rPr>
            </w:pPr>
          </w:p>
        </w:tc>
        <w:tc>
          <w:tcPr>
            <w:tcW w:w="2386" w:type="pct"/>
            <w:tcBorders>
              <w:top w:val="single" w:sz="4" w:space="0" w:color="1F497D"/>
              <w:left w:val="single" w:sz="4" w:space="0" w:color="1F497D"/>
              <w:bottom w:val="single" w:sz="4" w:space="0" w:color="1F497D"/>
              <w:right w:val="single" w:sz="4" w:space="0" w:color="1F497D"/>
            </w:tcBorders>
            <w:vAlign w:val="center"/>
          </w:tcPr>
          <w:p w:rsidR="007C264E" w:rsidRPr="00786A47" w:rsidRDefault="003F153A" w:rsidP="003F153A">
            <w:pPr>
              <w:tabs>
                <w:tab w:val="num" w:pos="780"/>
              </w:tabs>
              <w:autoSpaceDE w:val="0"/>
              <w:autoSpaceDN w:val="0"/>
              <w:adjustRightInd w:val="0"/>
              <w:spacing w:line="276" w:lineRule="auto"/>
              <w:jc w:val="both"/>
              <w:rPr>
                <w:rFonts w:ascii="Arial" w:hAnsi="Arial" w:cs="Arial"/>
                <w:sz w:val="20"/>
                <w:szCs w:val="20"/>
                <w:lang w:val="es-ES"/>
              </w:rPr>
            </w:pPr>
            <w:r>
              <w:rPr>
                <w:rFonts w:ascii="Arial" w:hAnsi="Arial" w:cs="Arial"/>
                <w:sz w:val="20"/>
                <w:szCs w:val="20"/>
                <w:lang w:val="es-ES"/>
              </w:rPr>
              <w:t>Responsable  Área de Gestión</w:t>
            </w:r>
          </w:p>
        </w:tc>
      </w:tr>
      <w:tr w:rsidR="00786A47" w:rsidRPr="00786A47" w:rsidTr="00CC66E2">
        <w:tc>
          <w:tcPr>
            <w:tcW w:w="2614" w:type="pct"/>
            <w:tcBorders>
              <w:top w:val="single" w:sz="4" w:space="0" w:color="1F497D"/>
              <w:left w:val="single" w:sz="4" w:space="0" w:color="1F497D"/>
              <w:bottom w:val="single" w:sz="4" w:space="0" w:color="1F497D"/>
              <w:right w:val="single" w:sz="4" w:space="0" w:color="1F497D"/>
            </w:tcBorders>
            <w:hideMark/>
          </w:tcPr>
          <w:p w:rsidR="007C264E" w:rsidRPr="00786A47" w:rsidRDefault="007C264E" w:rsidP="00786A47">
            <w:pPr>
              <w:tabs>
                <w:tab w:val="num" w:pos="780"/>
              </w:tabs>
              <w:autoSpaceDE w:val="0"/>
              <w:autoSpaceDN w:val="0"/>
              <w:adjustRightInd w:val="0"/>
              <w:spacing w:line="276" w:lineRule="auto"/>
              <w:jc w:val="both"/>
              <w:rPr>
                <w:rFonts w:ascii="Arial" w:hAnsi="Arial" w:cs="Arial"/>
                <w:sz w:val="20"/>
                <w:szCs w:val="20"/>
                <w:lang w:val="es-ES"/>
              </w:rPr>
            </w:pPr>
            <w:r w:rsidRPr="00786A47">
              <w:rPr>
                <w:rFonts w:ascii="Arial" w:hAnsi="Arial" w:cs="Arial"/>
                <w:sz w:val="20"/>
                <w:szCs w:val="20"/>
                <w:lang w:val="es-ES"/>
              </w:rPr>
              <w:t>Cargo: Jefe de la División Gestión de la Investigación</w:t>
            </w:r>
          </w:p>
        </w:tc>
        <w:tc>
          <w:tcPr>
            <w:tcW w:w="2386" w:type="pct"/>
            <w:tcBorders>
              <w:top w:val="single" w:sz="4" w:space="0" w:color="1F497D"/>
              <w:left w:val="single" w:sz="4" w:space="0" w:color="1F497D"/>
              <w:bottom w:val="single" w:sz="4" w:space="0" w:color="1F497D"/>
              <w:right w:val="single" w:sz="4" w:space="0" w:color="1F497D"/>
            </w:tcBorders>
            <w:hideMark/>
          </w:tcPr>
          <w:p w:rsidR="007C264E" w:rsidRPr="00786A47" w:rsidRDefault="007C264E" w:rsidP="00786A47">
            <w:pPr>
              <w:tabs>
                <w:tab w:val="num" w:pos="780"/>
              </w:tabs>
              <w:autoSpaceDE w:val="0"/>
              <w:autoSpaceDN w:val="0"/>
              <w:adjustRightInd w:val="0"/>
              <w:spacing w:line="276" w:lineRule="auto"/>
              <w:jc w:val="both"/>
              <w:rPr>
                <w:rFonts w:ascii="Arial" w:hAnsi="Arial" w:cs="Arial"/>
                <w:sz w:val="20"/>
                <w:szCs w:val="20"/>
                <w:lang w:val="es-ES"/>
              </w:rPr>
            </w:pPr>
            <w:r w:rsidRPr="00786A47">
              <w:rPr>
                <w:rFonts w:ascii="Arial" w:hAnsi="Arial" w:cs="Arial"/>
                <w:sz w:val="20"/>
                <w:szCs w:val="20"/>
                <w:lang w:val="es-ES"/>
              </w:rPr>
              <w:t>Cargo: Jefe de la División Gestión de la Investigación</w:t>
            </w:r>
          </w:p>
        </w:tc>
      </w:tr>
      <w:tr w:rsidR="00786A47" w:rsidRPr="00786A47" w:rsidTr="00CC66E2">
        <w:tc>
          <w:tcPr>
            <w:tcW w:w="2614" w:type="pct"/>
            <w:tcBorders>
              <w:top w:val="single" w:sz="4" w:space="0" w:color="1F497D"/>
              <w:left w:val="single" w:sz="4" w:space="0" w:color="1F497D"/>
              <w:bottom w:val="single" w:sz="4" w:space="0" w:color="1F497D"/>
              <w:right w:val="single" w:sz="4" w:space="0" w:color="1F497D"/>
            </w:tcBorders>
            <w:hideMark/>
          </w:tcPr>
          <w:p w:rsidR="007C264E" w:rsidRPr="00786A47" w:rsidRDefault="007C264E" w:rsidP="00786A47">
            <w:pPr>
              <w:tabs>
                <w:tab w:val="num" w:pos="780"/>
              </w:tabs>
              <w:autoSpaceDE w:val="0"/>
              <w:autoSpaceDN w:val="0"/>
              <w:adjustRightInd w:val="0"/>
              <w:spacing w:line="276" w:lineRule="auto"/>
              <w:jc w:val="both"/>
              <w:rPr>
                <w:rFonts w:ascii="Arial" w:hAnsi="Arial" w:cs="Arial"/>
                <w:sz w:val="20"/>
                <w:szCs w:val="20"/>
                <w:lang w:val="es-ES"/>
              </w:rPr>
            </w:pPr>
            <w:r w:rsidRPr="00786A47">
              <w:rPr>
                <w:rFonts w:ascii="Arial" w:hAnsi="Arial" w:cs="Arial"/>
                <w:sz w:val="20"/>
                <w:szCs w:val="20"/>
                <w:lang w:val="es-ES"/>
              </w:rPr>
              <w:t xml:space="preserve">Fecha: </w:t>
            </w:r>
          </w:p>
        </w:tc>
        <w:tc>
          <w:tcPr>
            <w:tcW w:w="2386" w:type="pct"/>
            <w:tcBorders>
              <w:top w:val="single" w:sz="4" w:space="0" w:color="1F497D"/>
              <w:left w:val="single" w:sz="4" w:space="0" w:color="1F497D"/>
              <w:bottom w:val="single" w:sz="4" w:space="0" w:color="1F497D"/>
              <w:right w:val="single" w:sz="4" w:space="0" w:color="1F497D"/>
            </w:tcBorders>
            <w:hideMark/>
          </w:tcPr>
          <w:p w:rsidR="007C264E" w:rsidRPr="00786A47" w:rsidRDefault="007C264E" w:rsidP="00786A47">
            <w:pPr>
              <w:tabs>
                <w:tab w:val="num" w:pos="780"/>
              </w:tabs>
              <w:autoSpaceDE w:val="0"/>
              <w:autoSpaceDN w:val="0"/>
              <w:adjustRightInd w:val="0"/>
              <w:spacing w:line="276" w:lineRule="auto"/>
              <w:jc w:val="both"/>
              <w:rPr>
                <w:rFonts w:ascii="Arial" w:hAnsi="Arial" w:cs="Arial"/>
                <w:sz w:val="20"/>
                <w:szCs w:val="20"/>
                <w:lang w:val="es-ES"/>
              </w:rPr>
            </w:pPr>
            <w:r w:rsidRPr="00786A47">
              <w:rPr>
                <w:rFonts w:ascii="Arial" w:hAnsi="Arial" w:cs="Arial"/>
                <w:sz w:val="20"/>
                <w:szCs w:val="20"/>
                <w:lang w:val="es-ES"/>
              </w:rPr>
              <w:t xml:space="preserve">Fecha: </w:t>
            </w:r>
          </w:p>
        </w:tc>
      </w:tr>
      <w:tr w:rsidR="00786A47" w:rsidRPr="00786A47" w:rsidTr="00CC66E2">
        <w:tc>
          <w:tcPr>
            <w:tcW w:w="2614" w:type="pct"/>
            <w:tcBorders>
              <w:top w:val="single" w:sz="4" w:space="0" w:color="1F497D"/>
              <w:left w:val="single" w:sz="4" w:space="0" w:color="1F497D"/>
              <w:bottom w:val="single" w:sz="4" w:space="0" w:color="1F497D"/>
              <w:right w:val="single" w:sz="4" w:space="0" w:color="1F497D"/>
            </w:tcBorders>
            <w:shd w:val="clear" w:color="auto" w:fill="548DD4" w:themeFill="text2" w:themeFillTint="99"/>
            <w:hideMark/>
          </w:tcPr>
          <w:p w:rsidR="007C264E" w:rsidRPr="00786A47" w:rsidRDefault="007C264E" w:rsidP="00786A47">
            <w:pPr>
              <w:autoSpaceDE w:val="0"/>
              <w:autoSpaceDN w:val="0"/>
              <w:adjustRightInd w:val="0"/>
              <w:spacing w:line="276" w:lineRule="auto"/>
              <w:jc w:val="center"/>
              <w:rPr>
                <w:rFonts w:ascii="Arial" w:hAnsi="Arial" w:cs="Arial"/>
                <w:b/>
                <w:color w:val="FFFFFF" w:themeColor="background1"/>
                <w:sz w:val="20"/>
                <w:szCs w:val="20"/>
                <w:lang w:val="es-ES"/>
              </w:rPr>
            </w:pPr>
            <w:r w:rsidRPr="00786A47">
              <w:rPr>
                <w:rFonts w:ascii="Arial" w:hAnsi="Arial" w:cs="Arial"/>
                <w:b/>
                <w:color w:val="FFFFFF" w:themeColor="background1"/>
                <w:sz w:val="20"/>
                <w:szCs w:val="20"/>
                <w:lang w:val="es-ES"/>
              </w:rPr>
              <w:t>REVISIÓN</w:t>
            </w:r>
          </w:p>
        </w:tc>
        <w:tc>
          <w:tcPr>
            <w:tcW w:w="2386" w:type="pct"/>
            <w:tcBorders>
              <w:top w:val="single" w:sz="4" w:space="0" w:color="1F497D"/>
              <w:left w:val="single" w:sz="4" w:space="0" w:color="1F497D"/>
              <w:bottom w:val="single" w:sz="4" w:space="0" w:color="1F497D"/>
              <w:right w:val="single" w:sz="4" w:space="0" w:color="1F497D"/>
            </w:tcBorders>
            <w:shd w:val="clear" w:color="auto" w:fill="548DD4" w:themeFill="text2" w:themeFillTint="99"/>
            <w:hideMark/>
          </w:tcPr>
          <w:p w:rsidR="007C264E" w:rsidRPr="00786A47" w:rsidRDefault="007C264E" w:rsidP="00786A47">
            <w:pPr>
              <w:autoSpaceDE w:val="0"/>
              <w:autoSpaceDN w:val="0"/>
              <w:adjustRightInd w:val="0"/>
              <w:spacing w:line="276" w:lineRule="auto"/>
              <w:jc w:val="center"/>
              <w:rPr>
                <w:rFonts w:ascii="Arial" w:hAnsi="Arial" w:cs="Arial"/>
                <w:b/>
                <w:color w:val="FFFFFF" w:themeColor="background1"/>
                <w:sz w:val="20"/>
                <w:szCs w:val="20"/>
                <w:lang w:val="es-ES"/>
              </w:rPr>
            </w:pPr>
            <w:r w:rsidRPr="00786A47">
              <w:rPr>
                <w:rFonts w:ascii="Arial" w:hAnsi="Arial" w:cs="Arial"/>
                <w:b/>
                <w:color w:val="FFFFFF" w:themeColor="background1"/>
                <w:sz w:val="20"/>
                <w:szCs w:val="20"/>
                <w:lang w:val="es-ES"/>
              </w:rPr>
              <w:t>APROBACIÓN</w:t>
            </w:r>
          </w:p>
        </w:tc>
      </w:tr>
      <w:tr w:rsidR="00786A47" w:rsidRPr="00786A47" w:rsidTr="00CC66E2">
        <w:tc>
          <w:tcPr>
            <w:tcW w:w="2614" w:type="pct"/>
            <w:tcBorders>
              <w:top w:val="single" w:sz="4" w:space="0" w:color="1F497D"/>
              <w:left w:val="single" w:sz="4" w:space="0" w:color="1F497D"/>
              <w:bottom w:val="single" w:sz="4" w:space="0" w:color="1F497D"/>
              <w:right w:val="single" w:sz="4" w:space="0" w:color="1F497D"/>
            </w:tcBorders>
          </w:tcPr>
          <w:p w:rsidR="007C264E" w:rsidRPr="00786A47" w:rsidRDefault="007C264E" w:rsidP="00786A47">
            <w:pPr>
              <w:tabs>
                <w:tab w:val="num" w:pos="780"/>
              </w:tabs>
              <w:autoSpaceDE w:val="0"/>
              <w:autoSpaceDN w:val="0"/>
              <w:adjustRightInd w:val="0"/>
              <w:spacing w:line="276" w:lineRule="auto"/>
              <w:jc w:val="both"/>
              <w:rPr>
                <w:rFonts w:ascii="Arial" w:hAnsi="Arial" w:cs="Arial"/>
                <w:b/>
                <w:sz w:val="20"/>
                <w:szCs w:val="20"/>
                <w:lang w:val="es-ES"/>
              </w:rPr>
            </w:pPr>
          </w:p>
          <w:p w:rsidR="007C264E" w:rsidRPr="00786A47" w:rsidRDefault="007C264E" w:rsidP="00786A47">
            <w:pPr>
              <w:tabs>
                <w:tab w:val="num" w:pos="780"/>
              </w:tabs>
              <w:autoSpaceDE w:val="0"/>
              <w:autoSpaceDN w:val="0"/>
              <w:adjustRightInd w:val="0"/>
              <w:spacing w:line="276" w:lineRule="auto"/>
              <w:jc w:val="both"/>
              <w:rPr>
                <w:rFonts w:ascii="Arial" w:hAnsi="Arial" w:cs="Arial"/>
                <w:b/>
                <w:sz w:val="20"/>
                <w:szCs w:val="20"/>
                <w:lang w:val="es-ES"/>
              </w:rPr>
            </w:pPr>
          </w:p>
          <w:p w:rsidR="007C264E" w:rsidRPr="00786A47" w:rsidRDefault="007C264E" w:rsidP="00786A47">
            <w:pPr>
              <w:tabs>
                <w:tab w:val="num" w:pos="780"/>
              </w:tabs>
              <w:autoSpaceDE w:val="0"/>
              <w:autoSpaceDN w:val="0"/>
              <w:adjustRightInd w:val="0"/>
              <w:spacing w:line="276" w:lineRule="auto"/>
              <w:jc w:val="both"/>
              <w:rPr>
                <w:rFonts w:ascii="Arial" w:hAnsi="Arial" w:cs="Arial"/>
                <w:b/>
                <w:sz w:val="20"/>
                <w:szCs w:val="20"/>
                <w:lang w:val="es-ES"/>
              </w:rPr>
            </w:pPr>
          </w:p>
          <w:p w:rsidR="007C264E" w:rsidRPr="00786A47" w:rsidRDefault="007C264E" w:rsidP="00786A47">
            <w:pPr>
              <w:tabs>
                <w:tab w:val="num" w:pos="780"/>
              </w:tabs>
              <w:autoSpaceDE w:val="0"/>
              <w:autoSpaceDN w:val="0"/>
              <w:adjustRightInd w:val="0"/>
              <w:spacing w:line="276" w:lineRule="auto"/>
              <w:jc w:val="both"/>
              <w:rPr>
                <w:rFonts w:ascii="Arial" w:hAnsi="Arial" w:cs="Arial"/>
                <w:b/>
                <w:sz w:val="20"/>
                <w:szCs w:val="20"/>
                <w:lang w:val="es-ES"/>
              </w:rPr>
            </w:pPr>
          </w:p>
          <w:p w:rsidR="007C264E" w:rsidRPr="00786A47" w:rsidRDefault="007C264E" w:rsidP="00786A47">
            <w:pPr>
              <w:tabs>
                <w:tab w:val="num" w:pos="780"/>
              </w:tabs>
              <w:autoSpaceDE w:val="0"/>
              <w:autoSpaceDN w:val="0"/>
              <w:adjustRightInd w:val="0"/>
              <w:spacing w:line="276" w:lineRule="auto"/>
              <w:jc w:val="both"/>
              <w:rPr>
                <w:rFonts w:ascii="Arial" w:hAnsi="Arial" w:cs="Arial"/>
                <w:b/>
                <w:sz w:val="20"/>
                <w:szCs w:val="20"/>
                <w:lang w:val="es-ES"/>
              </w:rPr>
            </w:pPr>
          </w:p>
        </w:tc>
        <w:tc>
          <w:tcPr>
            <w:tcW w:w="2386" w:type="pct"/>
            <w:vMerge w:val="restart"/>
            <w:tcBorders>
              <w:top w:val="single" w:sz="4" w:space="0" w:color="1F497D"/>
              <w:left w:val="single" w:sz="4" w:space="0" w:color="1F497D"/>
              <w:right w:val="single" w:sz="4" w:space="0" w:color="1F497D"/>
            </w:tcBorders>
          </w:tcPr>
          <w:p w:rsidR="007C264E" w:rsidRPr="00786A47" w:rsidRDefault="007C264E" w:rsidP="00786A47">
            <w:pPr>
              <w:tabs>
                <w:tab w:val="num" w:pos="780"/>
              </w:tabs>
              <w:autoSpaceDE w:val="0"/>
              <w:autoSpaceDN w:val="0"/>
              <w:adjustRightInd w:val="0"/>
              <w:spacing w:line="276" w:lineRule="auto"/>
              <w:jc w:val="both"/>
              <w:rPr>
                <w:rFonts w:ascii="Arial" w:hAnsi="Arial" w:cs="Arial"/>
                <w:b/>
                <w:sz w:val="20"/>
                <w:szCs w:val="20"/>
                <w:lang w:val="es-ES"/>
              </w:rPr>
            </w:pPr>
          </w:p>
          <w:p w:rsidR="007C264E" w:rsidRPr="00786A47" w:rsidRDefault="007C264E" w:rsidP="00786A47">
            <w:pPr>
              <w:tabs>
                <w:tab w:val="num" w:pos="780"/>
              </w:tabs>
              <w:autoSpaceDE w:val="0"/>
              <w:autoSpaceDN w:val="0"/>
              <w:adjustRightInd w:val="0"/>
              <w:spacing w:line="276" w:lineRule="auto"/>
              <w:jc w:val="both"/>
              <w:rPr>
                <w:rFonts w:ascii="Arial" w:hAnsi="Arial" w:cs="Arial"/>
                <w:b/>
                <w:sz w:val="20"/>
                <w:szCs w:val="20"/>
                <w:lang w:val="es-ES"/>
              </w:rPr>
            </w:pPr>
          </w:p>
          <w:p w:rsidR="007C264E" w:rsidRPr="00786A47" w:rsidRDefault="007C264E" w:rsidP="00786A47">
            <w:pPr>
              <w:tabs>
                <w:tab w:val="num" w:pos="780"/>
              </w:tabs>
              <w:autoSpaceDE w:val="0"/>
              <w:autoSpaceDN w:val="0"/>
              <w:adjustRightInd w:val="0"/>
              <w:spacing w:line="276" w:lineRule="auto"/>
              <w:jc w:val="both"/>
              <w:rPr>
                <w:rFonts w:ascii="Arial" w:hAnsi="Arial" w:cs="Arial"/>
                <w:b/>
                <w:sz w:val="20"/>
                <w:szCs w:val="20"/>
                <w:lang w:val="es-ES"/>
              </w:rPr>
            </w:pPr>
          </w:p>
          <w:p w:rsidR="007C264E" w:rsidRPr="00786A47" w:rsidRDefault="007C264E" w:rsidP="00786A47">
            <w:pPr>
              <w:tabs>
                <w:tab w:val="num" w:pos="780"/>
              </w:tabs>
              <w:autoSpaceDE w:val="0"/>
              <w:autoSpaceDN w:val="0"/>
              <w:adjustRightInd w:val="0"/>
              <w:spacing w:line="276" w:lineRule="auto"/>
              <w:jc w:val="both"/>
              <w:rPr>
                <w:rFonts w:ascii="Arial" w:hAnsi="Arial" w:cs="Arial"/>
                <w:b/>
                <w:sz w:val="20"/>
                <w:szCs w:val="20"/>
                <w:lang w:val="es-ES"/>
              </w:rPr>
            </w:pPr>
          </w:p>
          <w:p w:rsidR="007C264E" w:rsidRPr="00786A47" w:rsidRDefault="007C264E" w:rsidP="00786A47">
            <w:pPr>
              <w:tabs>
                <w:tab w:val="num" w:pos="780"/>
              </w:tabs>
              <w:autoSpaceDE w:val="0"/>
              <w:autoSpaceDN w:val="0"/>
              <w:adjustRightInd w:val="0"/>
              <w:spacing w:line="276" w:lineRule="auto"/>
              <w:jc w:val="both"/>
              <w:rPr>
                <w:rFonts w:ascii="Arial" w:hAnsi="Arial" w:cs="Arial"/>
                <w:b/>
                <w:sz w:val="20"/>
                <w:szCs w:val="20"/>
                <w:lang w:val="es-ES"/>
              </w:rPr>
            </w:pPr>
          </w:p>
          <w:p w:rsidR="007C264E" w:rsidRPr="00786A47" w:rsidRDefault="007C264E" w:rsidP="00786A47">
            <w:pPr>
              <w:tabs>
                <w:tab w:val="num" w:pos="780"/>
              </w:tabs>
              <w:autoSpaceDE w:val="0"/>
              <w:autoSpaceDN w:val="0"/>
              <w:adjustRightInd w:val="0"/>
              <w:spacing w:line="276" w:lineRule="auto"/>
              <w:jc w:val="both"/>
              <w:rPr>
                <w:rFonts w:ascii="Arial" w:hAnsi="Arial" w:cs="Arial"/>
                <w:b/>
                <w:sz w:val="20"/>
                <w:szCs w:val="20"/>
                <w:lang w:val="es-ES"/>
              </w:rPr>
            </w:pPr>
          </w:p>
        </w:tc>
      </w:tr>
      <w:tr w:rsidR="00786A47" w:rsidRPr="00786A47" w:rsidTr="00CC66E2">
        <w:tc>
          <w:tcPr>
            <w:tcW w:w="2614" w:type="pct"/>
            <w:tcBorders>
              <w:top w:val="single" w:sz="4" w:space="0" w:color="1F497D"/>
              <w:left w:val="single" w:sz="4" w:space="0" w:color="1F497D"/>
              <w:bottom w:val="single" w:sz="4" w:space="0" w:color="1F497D"/>
              <w:right w:val="single" w:sz="4" w:space="0" w:color="1F497D"/>
            </w:tcBorders>
          </w:tcPr>
          <w:p w:rsidR="007C264E" w:rsidRPr="00786A47" w:rsidRDefault="007C264E" w:rsidP="00786A47">
            <w:pPr>
              <w:tabs>
                <w:tab w:val="num" w:pos="780"/>
              </w:tabs>
              <w:autoSpaceDE w:val="0"/>
              <w:autoSpaceDN w:val="0"/>
              <w:adjustRightInd w:val="0"/>
              <w:spacing w:line="276" w:lineRule="auto"/>
              <w:jc w:val="both"/>
              <w:rPr>
                <w:rFonts w:ascii="Arial" w:hAnsi="Arial" w:cs="Arial"/>
                <w:sz w:val="20"/>
                <w:szCs w:val="20"/>
                <w:lang w:val="es-ES"/>
              </w:rPr>
            </w:pPr>
            <w:r w:rsidRPr="00786A47">
              <w:rPr>
                <w:rFonts w:ascii="Arial" w:hAnsi="Arial" w:cs="Arial"/>
                <w:sz w:val="20"/>
                <w:szCs w:val="20"/>
                <w:lang w:val="es-ES"/>
              </w:rPr>
              <w:t>Nombre:</w:t>
            </w:r>
          </w:p>
        </w:tc>
        <w:tc>
          <w:tcPr>
            <w:tcW w:w="2386" w:type="pct"/>
            <w:vMerge/>
            <w:tcBorders>
              <w:left w:val="single" w:sz="4" w:space="0" w:color="1F497D"/>
              <w:bottom w:val="single" w:sz="4" w:space="0" w:color="1F497D"/>
              <w:right w:val="single" w:sz="4" w:space="0" w:color="1F497D"/>
            </w:tcBorders>
          </w:tcPr>
          <w:p w:rsidR="007C264E" w:rsidRPr="00786A47" w:rsidRDefault="007C264E" w:rsidP="00786A47">
            <w:pPr>
              <w:tabs>
                <w:tab w:val="num" w:pos="780"/>
              </w:tabs>
              <w:autoSpaceDE w:val="0"/>
              <w:autoSpaceDN w:val="0"/>
              <w:adjustRightInd w:val="0"/>
              <w:spacing w:line="276" w:lineRule="auto"/>
              <w:jc w:val="both"/>
              <w:rPr>
                <w:rFonts w:ascii="Arial" w:hAnsi="Arial" w:cs="Arial"/>
                <w:sz w:val="20"/>
                <w:szCs w:val="20"/>
                <w:lang w:val="es-ES"/>
              </w:rPr>
            </w:pPr>
          </w:p>
        </w:tc>
      </w:tr>
      <w:tr w:rsidR="00786A47" w:rsidRPr="00786A47" w:rsidTr="00CC66E2">
        <w:tc>
          <w:tcPr>
            <w:tcW w:w="2614" w:type="pct"/>
            <w:tcBorders>
              <w:top w:val="single" w:sz="4" w:space="0" w:color="1F497D"/>
              <w:left w:val="single" w:sz="4" w:space="0" w:color="1F497D"/>
              <w:bottom w:val="single" w:sz="4" w:space="0" w:color="1F497D"/>
              <w:right w:val="single" w:sz="4" w:space="0" w:color="1F497D"/>
            </w:tcBorders>
            <w:hideMark/>
          </w:tcPr>
          <w:p w:rsidR="007C264E" w:rsidRPr="00786A47" w:rsidRDefault="007C264E" w:rsidP="00786A47">
            <w:pPr>
              <w:tabs>
                <w:tab w:val="num" w:pos="780"/>
              </w:tabs>
              <w:autoSpaceDE w:val="0"/>
              <w:autoSpaceDN w:val="0"/>
              <w:adjustRightInd w:val="0"/>
              <w:spacing w:line="276" w:lineRule="auto"/>
              <w:jc w:val="both"/>
              <w:rPr>
                <w:rFonts w:ascii="Arial" w:hAnsi="Arial" w:cs="Arial"/>
                <w:sz w:val="20"/>
                <w:szCs w:val="20"/>
                <w:lang w:val="es-ES"/>
              </w:rPr>
            </w:pPr>
            <w:r w:rsidRPr="00786A47">
              <w:rPr>
                <w:rFonts w:ascii="Arial" w:hAnsi="Arial" w:cs="Arial"/>
                <w:sz w:val="20"/>
                <w:szCs w:val="20"/>
                <w:lang w:val="es-ES"/>
              </w:rPr>
              <w:t>Responsable Proceso</w:t>
            </w:r>
          </w:p>
        </w:tc>
        <w:tc>
          <w:tcPr>
            <w:tcW w:w="2386" w:type="pct"/>
            <w:vMerge/>
            <w:tcBorders>
              <w:left w:val="single" w:sz="4" w:space="0" w:color="1F497D"/>
              <w:bottom w:val="single" w:sz="4" w:space="0" w:color="1F497D"/>
              <w:right w:val="single" w:sz="4" w:space="0" w:color="1F497D"/>
            </w:tcBorders>
          </w:tcPr>
          <w:p w:rsidR="007C264E" w:rsidRPr="00786A47" w:rsidRDefault="007C264E" w:rsidP="00786A47">
            <w:pPr>
              <w:tabs>
                <w:tab w:val="num" w:pos="780"/>
              </w:tabs>
              <w:autoSpaceDE w:val="0"/>
              <w:autoSpaceDN w:val="0"/>
              <w:adjustRightInd w:val="0"/>
              <w:spacing w:line="276" w:lineRule="auto"/>
              <w:jc w:val="both"/>
              <w:rPr>
                <w:rFonts w:ascii="Arial" w:hAnsi="Arial" w:cs="Arial"/>
                <w:sz w:val="20"/>
                <w:szCs w:val="20"/>
                <w:lang w:val="es-ES"/>
              </w:rPr>
            </w:pPr>
          </w:p>
        </w:tc>
      </w:tr>
      <w:tr w:rsidR="00786A47" w:rsidRPr="00786A47" w:rsidTr="00CC66E2">
        <w:tc>
          <w:tcPr>
            <w:tcW w:w="2614" w:type="pct"/>
            <w:tcBorders>
              <w:top w:val="single" w:sz="4" w:space="0" w:color="1F497D"/>
              <w:left w:val="single" w:sz="4" w:space="0" w:color="1F497D"/>
              <w:bottom w:val="single" w:sz="4" w:space="0" w:color="1F497D"/>
              <w:right w:val="single" w:sz="4" w:space="0" w:color="1F497D"/>
            </w:tcBorders>
            <w:hideMark/>
          </w:tcPr>
          <w:p w:rsidR="007C264E" w:rsidRPr="00786A47" w:rsidRDefault="007C264E" w:rsidP="00786A47">
            <w:pPr>
              <w:tabs>
                <w:tab w:val="num" w:pos="780"/>
              </w:tabs>
              <w:autoSpaceDE w:val="0"/>
              <w:autoSpaceDN w:val="0"/>
              <w:adjustRightInd w:val="0"/>
              <w:spacing w:line="276" w:lineRule="auto"/>
              <w:jc w:val="both"/>
              <w:rPr>
                <w:rFonts w:ascii="Arial" w:hAnsi="Arial" w:cs="Arial"/>
                <w:sz w:val="20"/>
                <w:szCs w:val="20"/>
                <w:lang w:val="es-ES"/>
              </w:rPr>
            </w:pPr>
            <w:r w:rsidRPr="00786A47">
              <w:rPr>
                <w:rFonts w:ascii="Arial" w:hAnsi="Arial" w:cs="Arial"/>
                <w:sz w:val="20"/>
                <w:szCs w:val="20"/>
                <w:lang w:val="es-ES"/>
              </w:rPr>
              <w:t xml:space="preserve">Cargo: Vicerrector (a) de Investigaciones </w:t>
            </w:r>
          </w:p>
        </w:tc>
        <w:tc>
          <w:tcPr>
            <w:tcW w:w="2386" w:type="pct"/>
            <w:tcBorders>
              <w:top w:val="single" w:sz="4" w:space="0" w:color="1F497D"/>
              <w:left w:val="single" w:sz="4" w:space="0" w:color="1F497D"/>
              <w:bottom w:val="single" w:sz="4" w:space="0" w:color="1F497D"/>
              <w:right w:val="single" w:sz="4" w:space="0" w:color="1F497D"/>
            </w:tcBorders>
            <w:hideMark/>
          </w:tcPr>
          <w:p w:rsidR="007C264E" w:rsidRPr="00786A47" w:rsidRDefault="007C264E" w:rsidP="00786A47">
            <w:pPr>
              <w:tabs>
                <w:tab w:val="num" w:pos="780"/>
              </w:tabs>
              <w:autoSpaceDE w:val="0"/>
              <w:autoSpaceDN w:val="0"/>
              <w:adjustRightInd w:val="0"/>
              <w:spacing w:line="276" w:lineRule="auto"/>
              <w:jc w:val="both"/>
              <w:rPr>
                <w:rFonts w:ascii="Arial" w:hAnsi="Arial" w:cs="Arial"/>
                <w:sz w:val="20"/>
                <w:szCs w:val="20"/>
                <w:lang w:val="es-ES"/>
              </w:rPr>
            </w:pPr>
            <w:r w:rsidRPr="00786A47">
              <w:rPr>
                <w:rFonts w:ascii="Arial" w:hAnsi="Arial" w:cs="Arial"/>
                <w:sz w:val="20"/>
                <w:szCs w:val="20"/>
                <w:lang w:val="es-ES"/>
              </w:rPr>
              <w:t>Rector</w:t>
            </w:r>
          </w:p>
        </w:tc>
      </w:tr>
      <w:tr w:rsidR="00786A47" w:rsidRPr="00786A47" w:rsidTr="00CC66E2">
        <w:tc>
          <w:tcPr>
            <w:tcW w:w="2614" w:type="pct"/>
            <w:tcBorders>
              <w:top w:val="single" w:sz="4" w:space="0" w:color="1F497D"/>
              <w:left w:val="single" w:sz="4" w:space="0" w:color="1F497D"/>
              <w:bottom w:val="single" w:sz="4" w:space="0" w:color="1F497D"/>
              <w:right w:val="single" w:sz="4" w:space="0" w:color="1F497D"/>
            </w:tcBorders>
            <w:hideMark/>
          </w:tcPr>
          <w:p w:rsidR="007C264E" w:rsidRPr="00786A47" w:rsidRDefault="007C264E" w:rsidP="00786A47">
            <w:pPr>
              <w:tabs>
                <w:tab w:val="num" w:pos="780"/>
              </w:tabs>
              <w:autoSpaceDE w:val="0"/>
              <w:autoSpaceDN w:val="0"/>
              <w:adjustRightInd w:val="0"/>
              <w:spacing w:line="276" w:lineRule="auto"/>
              <w:jc w:val="both"/>
              <w:rPr>
                <w:rFonts w:ascii="Arial" w:hAnsi="Arial" w:cs="Arial"/>
                <w:sz w:val="20"/>
                <w:szCs w:val="20"/>
                <w:lang w:val="es-ES"/>
              </w:rPr>
            </w:pPr>
            <w:r w:rsidRPr="00786A47">
              <w:rPr>
                <w:rFonts w:ascii="Arial" w:hAnsi="Arial" w:cs="Arial"/>
                <w:sz w:val="20"/>
                <w:szCs w:val="20"/>
                <w:lang w:val="es-ES"/>
              </w:rPr>
              <w:t xml:space="preserve">Fecha: </w:t>
            </w:r>
          </w:p>
        </w:tc>
        <w:tc>
          <w:tcPr>
            <w:tcW w:w="2386" w:type="pct"/>
            <w:tcBorders>
              <w:top w:val="single" w:sz="4" w:space="0" w:color="1F497D"/>
              <w:left w:val="single" w:sz="4" w:space="0" w:color="1F497D"/>
              <w:bottom w:val="single" w:sz="4" w:space="0" w:color="1F497D"/>
              <w:right w:val="single" w:sz="4" w:space="0" w:color="1F497D"/>
            </w:tcBorders>
            <w:hideMark/>
          </w:tcPr>
          <w:p w:rsidR="007C264E" w:rsidRPr="00786A47" w:rsidRDefault="007C264E" w:rsidP="00786A47">
            <w:pPr>
              <w:tabs>
                <w:tab w:val="num" w:pos="780"/>
              </w:tabs>
              <w:autoSpaceDE w:val="0"/>
              <w:autoSpaceDN w:val="0"/>
              <w:adjustRightInd w:val="0"/>
              <w:spacing w:line="276" w:lineRule="auto"/>
              <w:jc w:val="both"/>
              <w:rPr>
                <w:rFonts w:ascii="Arial" w:hAnsi="Arial" w:cs="Arial"/>
                <w:sz w:val="20"/>
                <w:szCs w:val="20"/>
                <w:lang w:val="es-ES"/>
              </w:rPr>
            </w:pPr>
            <w:r w:rsidRPr="00786A47">
              <w:rPr>
                <w:rFonts w:ascii="Arial" w:hAnsi="Arial" w:cs="Arial"/>
                <w:sz w:val="20"/>
                <w:szCs w:val="20"/>
                <w:lang w:val="es-ES"/>
              </w:rPr>
              <w:t>Fecha:  04-09-2015</w:t>
            </w:r>
          </w:p>
        </w:tc>
      </w:tr>
    </w:tbl>
    <w:p w:rsidR="007C264E" w:rsidRPr="00786A47" w:rsidRDefault="007C264E" w:rsidP="00523670">
      <w:pPr>
        <w:tabs>
          <w:tab w:val="left" w:pos="0"/>
          <w:tab w:val="left" w:pos="1624"/>
        </w:tabs>
        <w:jc w:val="both"/>
        <w:rPr>
          <w:rFonts w:ascii="Arial" w:hAnsi="Arial" w:cs="Arial"/>
          <w:sz w:val="22"/>
          <w:szCs w:val="22"/>
          <w:lang w:val="es-ES"/>
        </w:rPr>
      </w:pPr>
    </w:p>
    <w:sectPr w:rsidR="007C264E" w:rsidRPr="00786A47" w:rsidSect="00985B3B">
      <w:headerReference w:type="even" r:id="rId11"/>
      <w:headerReference w:type="default" r:id="rId12"/>
      <w:footerReference w:type="default" r:id="rId13"/>
      <w:headerReference w:type="first" r:id="rId14"/>
      <w:footerReference w:type="first" r:id="rId15"/>
      <w:pgSz w:w="12240" w:h="15840" w:code="1"/>
      <w:pgMar w:top="1985" w:right="1701" w:bottom="1361" w:left="1701" w:header="426"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893" w:rsidRDefault="00C60893">
      <w:r>
        <w:separator/>
      </w:r>
    </w:p>
  </w:endnote>
  <w:endnote w:type="continuationSeparator" w:id="0">
    <w:p w:rsidR="00C60893" w:rsidRDefault="00C60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GoudyOldStyleBT-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147" w:rsidRDefault="00CE6147">
    <w:pPr>
      <w:pStyle w:val="Piedepgina"/>
      <w:rPr>
        <w:rFonts w:ascii="Arial" w:hAnsi="Arial" w:cs="Arial"/>
        <w:b/>
        <w:i/>
        <w:sz w:val="16"/>
        <w:szCs w:val="16"/>
        <w:lang w:val="es-ES_tradnl"/>
      </w:rPr>
    </w:pPr>
    <w:r>
      <w:rPr>
        <w:rFonts w:ascii="Arial" w:hAnsi="Arial" w:cs="Arial"/>
        <w:b/>
        <w:i/>
        <w:noProof/>
        <w:sz w:val="16"/>
        <w:szCs w:val="16"/>
        <w:lang w:val="en-US"/>
      </w:rPr>
      <w:drawing>
        <wp:anchor distT="0" distB="0" distL="114300" distR="114300" simplePos="0" relativeHeight="251656192" behindDoc="0" locked="0" layoutInCell="1" allowOverlap="1" wp14:anchorId="4758B4AB" wp14:editId="3117D8F1">
          <wp:simplePos x="0" y="0"/>
          <wp:positionH relativeFrom="column">
            <wp:posOffset>4844415</wp:posOffset>
          </wp:positionH>
          <wp:positionV relativeFrom="paragraph">
            <wp:posOffset>-269875</wp:posOffset>
          </wp:positionV>
          <wp:extent cx="788400" cy="540000"/>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CONTEC 2020.png"/>
                  <pic:cNvPicPr/>
                </pic:nvPicPr>
                <pic:blipFill>
                  <a:blip r:embed="rId1">
                    <a:extLst>
                      <a:ext uri="{28A0092B-C50C-407E-A947-70E740481C1C}">
                        <a14:useLocalDpi xmlns:a14="http://schemas.microsoft.com/office/drawing/2010/main" val="0"/>
                      </a:ext>
                    </a:extLst>
                  </a:blip>
                  <a:stretch>
                    <a:fillRect/>
                  </a:stretch>
                </pic:blipFill>
                <pic:spPr>
                  <a:xfrm>
                    <a:off x="0" y="0"/>
                    <a:ext cx="788400" cy="5400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i/>
        <w:noProof/>
        <w:sz w:val="16"/>
        <w:szCs w:val="16"/>
        <w:lang w:val="en-US"/>
      </w:rPr>
      <mc:AlternateContent>
        <mc:Choice Requires="wps">
          <w:drawing>
            <wp:anchor distT="4294967295" distB="4294967295" distL="114300" distR="114300" simplePos="0" relativeHeight="251655168" behindDoc="0" locked="0" layoutInCell="1" allowOverlap="1">
              <wp:simplePos x="0" y="0"/>
              <wp:positionH relativeFrom="column">
                <wp:posOffset>-148590</wp:posOffset>
              </wp:positionH>
              <wp:positionV relativeFrom="paragraph">
                <wp:posOffset>-636</wp:posOffset>
              </wp:positionV>
              <wp:extent cx="4888230" cy="0"/>
              <wp:effectExtent l="0" t="19050" r="2667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8230" cy="0"/>
                      </a:xfrm>
                      <a:prstGeom prst="line">
                        <a:avLst/>
                      </a:prstGeom>
                      <a:noFill/>
                      <a:ln w="57150" cmpd="thinThick">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88449B" id="Line 1"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pt,-.05pt" to="373.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" strokecolor="navy" strokeweight="4.5pt">
              <v:stroke linestyle="thinThick"/>
            </v:lin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147" w:rsidRDefault="00CE6147" w:rsidP="00596987">
    <w:pPr>
      <w:pStyle w:val="Piedepgina"/>
      <w:rPr>
        <w:rFonts w:ascii="Arial" w:hAnsi="Arial" w:cs="Arial"/>
        <w:b/>
        <w:i/>
        <w:sz w:val="16"/>
        <w:szCs w:val="16"/>
        <w:lang w:val="es-ES_tradnl"/>
      </w:rPr>
    </w:pPr>
    <w:r>
      <w:rPr>
        <w:rFonts w:ascii="Arial" w:hAnsi="Arial" w:cs="Arial"/>
        <w:b/>
        <w:i/>
        <w:noProof/>
        <w:sz w:val="16"/>
        <w:szCs w:val="16"/>
        <w:lang w:val="en-US"/>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5080</wp:posOffset>
              </wp:positionV>
              <wp:extent cx="5486400" cy="3175"/>
              <wp:effectExtent l="0" t="19050" r="19050" b="3492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3175"/>
                      </a:xfrm>
                      <a:prstGeom prst="line">
                        <a:avLst/>
                      </a:prstGeom>
                      <a:noFill/>
                      <a:ln w="57150" cmpd="thinThick">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A7A95" id="Line 5"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pt" to="6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" strokecolor="navy" strokeweight="4.5pt">
              <v:stroke linestyle="thinThick"/>
            </v:lin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893" w:rsidRDefault="00C60893">
      <w:r>
        <w:separator/>
      </w:r>
    </w:p>
  </w:footnote>
  <w:footnote w:type="continuationSeparator" w:id="0">
    <w:p w:rsidR="00C60893" w:rsidRDefault="00C60893">
      <w:r>
        <w:continuationSeparator/>
      </w:r>
    </w:p>
  </w:footnote>
  <w:footnote w:id="1">
    <w:p w:rsidR="00CE6147" w:rsidRDefault="00CE6147" w:rsidP="00786A47">
      <w:pPr>
        <w:pStyle w:val="Textonotapie"/>
        <w:jc w:val="both"/>
      </w:pPr>
      <w:r>
        <w:rPr>
          <w:rStyle w:val="Refdenotaalpie"/>
        </w:rPr>
        <w:footnoteRef/>
      </w:r>
      <w:r>
        <w:t xml:space="preserve"> Resulta pertinente indicar que la guía básica que se presenta, tiene la idea de servir de referente para los investigadores adscritos a la Vicerrectoría de investigaciones de la Universidad del Cauca. Se dan en consecuencia, pautas de las normas que regulan la investigación con el objeto de atemperar dicho trabajo a las regulaciones que sobre la materia existen. No pretende por tanto ser un documento acabado sobre todos los aspectos que congloba la investigación.</w:t>
      </w:r>
    </w:p>
  </w:footnote>
  <w:footnote w:id="2">
    <w:p w:rsidR="00CE6147" w:rsidRDefault="00CE6147" w:rsidP="00786A47">
      <w:pPr>
        <w:autoSpaceDE w:val="0"/>
        <w:autoSpaceDN w:val="0"/>
        <w:adjustRightInd w:val="0"/>
        <w:jc w:val="both"/>
      </w:pPr>
      <w:r>
        <w:rPr>
          <w:rStyle w:val="Refdenotaalpie"/>
        </w:rPr>
        <w:footnoteRef/>
      </w:r>
      <w:r>
        <w:t xml:space="preserve"> </w:t>
      </w:r>
      <w:r w:rsidRPr="00616ACF">
        <w:rPr>
          <w:sz w:val="20"/>
          <w:szCs w:val="20"/>
        </w:rPr>
        <w:t xml:space="preserve">La </w:t>
      </w:r>
      <w:r w:rsidRPr="00616ACF">
        <w:rPr>
          <w:b/>
          <w:sz w:val="20"/>
          <w:szCs w:val="20"/>
        </w:rPr>
        <w:t>Unesco</w:t>
      </w:r>
      <w:r>
        <w:t xml:space="preserve"> </w:t>
      </w:r>
      <w:r>
        <w:rPr>
          <w:sz w:val="20"/>
          <w:szCs w:val="20"/>
        </w:rPr>
        <w:t>en una de sus guías de CAPACITACION DE LOS COMITES DE BIOETICA (ORGANIZACIÓN DE LAS NACIONES UNIDAS PARA LA EDUCACION, LA CIENCIA Y LA CULTURA – DIVISION DE ETICA PARA LA ETICA DE LA CIENCIA Y LA TECNOLOGIA. Francia. 2007) indica que los “…</w:t>
      </w:r>
      <w:r w:rsidRPr="00616ACF">
        <w:rPr>
          <w:i/>
          <w:sz w:val="20"/>
          <w:szCs w:val="20"/>
        </w:rPr>
        <w:t xml:space="preserve">4. </w:t>
      </w:r>
      <w:r w:rsidRPr="00616ACF">
        <w:rPr>
          <w:b/>
          <w:i/>
          <w:sz w:val="20"/>
          <w:szCs w:val="20"/>
        </w:rPr>
        <w:t>Comités de ética de la investigación</w:t>
      </w:r>
      <w:r w:rsidRPr="00616ACF">
        <w:rPr>
          <w:i/>
          <w:sz w:val="20"/>
          <w:szCs w:val="20"/>
        </w:rPr>
        <w:t>, cuya finalidad es proteger a quienes participan en estudios de investigación en seres humanos, al tiempo que adquieren conocimientos biológicos, biomédicos, conductuales y epidemiológicos generalizables (por ejemplo, sobre productos farmacéuticos, vacunas, técnicas quirúrgicas e implantes), y fomentar la integridad y la responsabilidad en la investigación</w:t>
      </w:r>
      <w:r>
        <w:rPr>
          <w:i/>
          <w:sz w:val="20"/>
          <w:szCs w:val="20"/>
        </w:rPr>
        <w:t>”</w:t>
      </w:r>
    </w:p>
  </w:footnote>
  <w:footnote w:id="3">
    <w:p w:rsidR="00CE6147" w:rsidRDefault="00CE6147" w:rsidP="00786A47">
      <w:pPr>
        <w:pStyle w:val="Textonotapie"/>
        <w:jc w:val="both"/>
      </w:pPr>
      <w:r>
        <w:rPr>
          <w:rStyle w:val="Refdenotaalpie"/>
        </w:rPr>
        <w:footnoteRef/>
      </w:r>
      <w:r>
        <w:t xml:space="preserve"> FRANKLYN FAJARDO SANDOVAL – LUIS EDUARDO RUANO. El consentimiento informado. Del paternalismo a la reivindicación de los derechos humanos del paciente. Editorial Gustavo Ibáñez. Bogotá. 2009.</w:t>
      </w:r>
    </w:p>
  </w:footnote>
  <w:footnote w:id="4">
    <w:p w:rsidR="00CE6147" w:rsidRPr="00D8034E" w:rsidRDefault="00CE6147" w:rsidP="00786A47">
      <w:pPr>
        <w:pStyle w:val="Textonotapie"/>
        <w:jc w:val="both"/>
      </w:pPr>
      <w:r w:rsidRPr="00925368">
        <w:rPr>
          <w:rStyle w:val="Refdenotaalpie"/>
          <w:rFonts w:ascii="Arial" w:hAnsi="Arial" w:cs="Arial"/>
        </w:rPr>
        <w:footnoteRef/>
      </w:r>
      <w:r w:rsidRPr="00925368">
        <w:rPr>
          <w:rFonts w:ascii="Arial" w:hAnsi="Arial" w:cs="Arial"/>
        </w:rPr>
        <w:t xml:space="preserve"> </w:t>
      </w:r>
      <w:r w:rsidRPr="00D8034E">
        <w:t>FARALLI, Carla. La filosofía del Derecho contemporánea. Los temas y desafíos. Ediciones Universidad Externado de Colombia. Bogotá 2007.</w:t>
      </w:r>
    </w:p>
  </w:footnote>
  <w:footnote w:id="5">
    <w:p w:rsidR="00CE6147" w:rsidRDefault="00CE6147" w:rsidP="00786A47">
      <w:pPr>
        <w:autoSpaceDE w:val="0"/>
        <w:autoSpaceDN w:val="0"/>
        <w:adjustRightInd w:val="0"/>
        <w:jc w:val="both"/>
        <w:rPr>
          <w:sz w:val="20"/>
          <w:szCs w:val="20"/>
        </w:rPr>
      </w:pPr>
      <w:r>
        <w:rPr>
          <w:rStyle w:val="Refdenotaalpie"/>
        </w:rPr>
        <w:footnoteRef/>
      </w:r>
      <w:r>
        <w:t xml:space="preserve"> </w:t>
      </w:r>
      <w:r w:rsidRPr="00017BBF">
        <w:rPr>
          <w:sz w:val="20"/>
          <w:szCs w:val="20"/>
        </w:rPr>
        <w:t xml:space="preserve">En palabras de la Unesco se plantearía de la siguiente forma: </w:t>
      </w:r>
    </w:p>
    <w:p w:rsidR="00CE6147" w:rsidRPr="00D8034E" w:rsidRDefault="00CE6147" w:rsidP="00786A47">
      <w:pPr>
        <w:autoSpaceDE w:val="0"/>
        <w:autoSpaceDN w:val="0"/>
        <w:adjustRightInd w:val="0"/>
        <w:jc w:val="both"/>
        <w:rPr>
          <w:i/>
          <w:sz w:val="20"/>
          <w:szCs w:val="20"/>
        </w:rPr>
      </w:pPr>
      <w:r w:rsidRPr="00017BBF">
        <w:rPr>
          <w:sz w:val="20"/>
          <w:szCs w:val="20"/>
        </w:rPr>
        <w:t>“…</w:t>
      </w:r>
      <w:r w:rsidRPr="00D8034E">
        <w:rPr>
          <w:i/>
          <w:sz w:val="20"/>
          <w:szCs w:val="20"/>
        </w:rPr>
        <w:t>los problemas éticos suscitados por los rápidos adelantos de la ciencia y de sus aplicaciones tecnológicas deben examinarse teniendo en cuenta no sólo el respeto debido a la dignidad de la persona humana, sino también el respeto universal y la observancia de los derechos humanos y las libertades fundamentales”.</w:t>
      </w:r>
    </w:p>
    <w:p w:rsidR="00CE6147" w:rsidRPr="00D8034E" w:rsidRDefault="00CE6147" w:rsidP="00786A47">
      <w:pPr>
        <w:autoSpaceDE w:val="0"/>
        <w:autoSpaceDN w:val="0"/>
        <w:adjustRightInd w:val="0"/>
        <w:jc w:val="both"/>
        <w:rPr>
          <w:i/>
        </w:rPr>
      </w:pPr>
      <w:r>
        <w:rPr>
          <w:sz w:val="20"/>
          <w:szCs w:val="20"/>
        </w:rPr>
        <w:t>Dice también: “</w:t>
      </w:r>
      <w:r w:rsidRPr="00D8034E">
        <w:rPr>
          <w:i/>
          <w:sz w:val="20"/>
          <w:szCs w:val="20"/>
        </w:rPr>
        <w:t>Nuevos descubrimientos científicos, nuevas biotecnologías, nuevas políticas y disposiciones gubernamentales, nuevas decisiones judiciales, nuevos acuerdos internacionales, nuevas actitudes profesionales, nuevas normas y costumbres sociales, e igualmente importante, nuevos dilemas y polémicas, tales cambios son abrumadoramente numerosos y se verifican en distintos frentes”.</w:t>
      </w:r>
    </w:p>
  </w:footnote>
  <w:footnote w:id="6">
    <w:p w:rsidR="00CE6147" w:rsidRDefault="00CE6147" w:rsidP="00786A47">
      <w:pPr>
        <w:pStyle w:val="Textonotapie"/>
        <w:jc w:val="both"/>
      </w:pPr>
      <w:r>
        <w:rPr>
          <w:rStyle w:val="Refdenotaalpie"/>
        </w:rPr>
        <w:footnoteRef/>
      </w:r>
      <w:r>
        <w:t xml:space="preserve"> </w:t>
      </w:r>
      <w:bookmarkStart w:id="0" w:name="OLE_LINK1"/>
      <w:bookmarkStart w:id="1" w:name="OLE_LINK2"/>
      <w:r w:rsidR="00985B3B">
        <w:t>Ibídem</w:t>
      </w:r>
      <w:r>
        <w:t xml:space="preserve"> FRANKLYN FAJARDO SANDOVAL y LUIS EDUARDO RUANO. El consentimiento informado. Del paternalismo a la reivindicación de los derechos humanos del paciente. Editorial Gustavo Ibáñez. Bogotá 2009.</w:t>
      </w:r>
      <w:bookmarkEnd w:id="0"/>
      <w:bookmarkEnd w:id="1"/>
    </w:p>
  </w:footnote>
  <w:footnote w:id="7">
    <w:p w:rsidR="00CE6147" w:rsidRPr="00F4497C" w:rsidRDefault="00CE6147" w:rsidP="00786A47">
      <w:pPr>
        <w:jc w:val="both"/>
        <w:rPr>
          <w:rFonts w:eastAsia="Arial Unicode MS"/>
          <w:sz w:val="20"/>
          <w:szCs w:val="20"/>
        </w:rPr>
      </w:pPr>
      <w:r>
        <w:rPr>
          <w:rStyle w:val="Refdenotaalpie"/>
        </w:rPr>
        <w:footnoteRef/>
      </w:r>
      <w:r>
        <w:t xml:space="preserve"> </w:t>
      </w:r>
      <w:r>
        <w:rPr>
          <w:rFonts w:eastAsia="Arial Unicode MS"/>
          <w:sz w:val="20"/>
          <w:szCs w:val="20"/>
        </w:rPr>
        <w:t xml:space="preserve">Este </w:t>
      </w:r>
      <w:r w:rsidRPr="00F4497C">
        <w:rPr>
          <w:rFonts w:eastAsia="Arial Unicode MS"/>
          <w:sz w:val="20"/>
          <w:szCs w:val="20"/>
        </w:rPr>
        <w:t>Código de investigación</w:t>
      </w:r>
      <w:r w:rsidRPr="00F4497C">
        <w:rPr>
          <w:rStyle w:val="Refdenotaalpie"/>
          <w:rFonts w:eastAsia="Arial Unicode MS"/>
          <w:sz w:val="20"/>
          <w:szCs w:val="20"/>
        </w:rPr>
        <w:footnoteRef/>
      </w:r>
      <w:r w:rsidRPr="00F4497C">
        <w:rPr>
          <w:rFonts w:eastAsia="Arial Unicode MS"/>
          <w:sz w:val="20"/>
          <w:szCs w:val="20"/>
        </w:rPr>
        <w:t xml:space="preserve"> -establecido como consecuencia de los crímenes Nazis- se ocupa </w:t>
      </w:r>
      <w:r>
        <w:rPr>
          <w:rFonts w:eastAsia="Arial Unicode MS"/>
          <w:sz w:val="20"/>
          <w:szCs w:val="20"/>
        </w:rPr>
        <w:t xml:space="preserve">jurídicamente </w:t>
      </w:r>
      <w:r w:rsidRPr="00F4497C">
        <w:rPr>
          <w:rFonts w:eastAsia="Arial Unicode MS"/>
          <w:sz w:val="20"/>
          <w:szCs w:val="20"/>
        </w:rPr>
        <w:t>del tema y da paso a una visión de autonomía y respeto por los derechos de quien funge como paciente o como objeto de estudio.</w:t>
      </w:r>
      <w:r>
        <w:rPr>
          <w:rFonts w:eastAsia="Arial Unicode MS"/>
          <w:sz w:val="20"/>
          <w:szCs w:val="20"/>
        </w:rPr>
        <w:t xml:space="preserve"> </w:t>
      </w:r>
      <w:r w:rsidRPr="00F4497C">
        <w:rPr>
          <w:rFonts w:eastAsia="Arial Unicode MS"/>
          <w:sz w:val="20"/>
          <w:szCs w:val="20"/>
        </w:rPr>
        <w:t xml:space="preserve">Todo este contexto </w:t>
      </w:r>
      <w:r>
        <w:rPr>
          <w:rFonts w:eastAsia="Arial Unicode MS"/>
          <w:sz w:val="20"/>
          <w:szCs w:val="20"/>
        </w:rPr>
        <w:t xml:space="preserve">que se planteará </w:t>
      </w:r>
      <w:r w:rsidRPr="00F4497C">
        <w:rPr>
          <w:rFonts w:eastAsia="Arial Unicode MS"/>
          <w:sz w:val="20"/>
          <w:szCs w:val="20"/>
        </w:rPr>
        <w:t xml:space="preserve">demuestra que la situación de vulnerabilidad en que se encontraban los sujetos pasivos de la atención médica y de los experimentos científicos, no podía continuar, pues la humanidad había acudido por cuenta de esta percepción y práctica tan perversa a desmanes y horrores, tales como los de las guerras mundiales, en especial la segunda, donde a la par de la muerte y desolación que se generó en el escenario del conflicto, el ser humano fue sometido como nunca antes a experimentos y vulneración de sus derechos por cuenta de esta percepción equívoca de la relación, y sobre todo de la opción de avasallar a los pacientes en investigaciones “científicas”, al igual que también es en éste contexto donde el consentimiento empieza a abrirse campo. </w:t>
      </w:r>
      <w:r>
        <w:rPr>
          <w:rFonts w:eastAsia="Arial Unicode MS"/>
          <w:sz w:val="20"/>
          <w:szCs w:val="20"/>
        </w:rPr>
        <w:t xml:space="preserve"> (citado en el texto del consentimiento informado arriba indicado).</w:t>
      </w:r>
    </w:p>
    <w:p w:rsidR="00CE6147" w:rsidRDefault="00CE6147" w:rsidP="00786A47">
      <w:pPr>
        <w:pStyle w:val="Textonotapie"/>
      </w:pPr>
    </w:p>
  </w:footnote>
  <w:footnote w:id="8">
    <w:p w:rsidR="00CE6147" w:rsidRPr="00EB1A24" w:rsidRDefault="00CE6147" w:rsidP="00786A47">
      <w:pPr>
        <w:pStyle w:val="Textonotapie"/>
        <w:jc w:val="both"/>
        <w:rPr>
          <w:i/>
        </w:rPr>
      </w:pPr>
      <w:r>
        <w:rPr>
          <w:rStyle w:val="Refdenotaalpie"/>
        </w:rPr>
        <w:footnoteRef/>
      </w:r>
      <w:r>
        <w:t xml:space="preserve"> Esta D</w:t>
      </w:r>
      <w:r w:rsidRPr="00EB1A24">
        <w:t xml:space="preserve">eclaración de 1964 y 1975 </w:t>
      </w:r>
      <w:r>
        <w:t xml:space="preserve">y las demás que se plantean en este documento finalmente </w:t>
      </w:r>
      <w:r w:rsidRPr="00EB1A24">
        <w:t>“</w:t>
      </w:r>
      <w:r w:rsidRPr="00EB1A24">
        <w:rPr>
          <w:i/>
        </w:rPr>
        <w:t>ratifican en su conjunto a nivel mundial la dignidad de todas las personas y esta desde su dignidad reconocieron su libertad, la equidad, la autonomía y la práctica de la justicia, desde la diversidad humana. Todas estas declaraciones incluyen la implantación del consentimiento informado en la práctica médica clínica e investigativa” (citado en LUDWIG Schmidt Consentimiento informado: un acto reivindicativo de la dignidad y libertad del paciente. Universidad Católica Andrés Bello. Venezuela).</w:t>
      </w:r>
    </w:p>
    <w:p w:rsidR="00CE6147" w:rsidRDefault="00CE6147" w:rsidP="00786A47">
      <w:pPr>
        <w:pStyle w:val="Textonotapie"/>
      </w:pPr>
    </w:p>
  </w:footnote>
  <w:footnote w:id="9">
    <w:p w:rsidR="00CE6147" w:rsidRPr="00A47387" w:rsidRDefault="00CE6147" w:rsidP="00786A47">
      <w:pPr>
        <w:autoSpaceDE w:val="0"/>
        <w:autoSpaceDN w:val="0"/>
        <w:adjustRightInd w:val="0"/>
        <w:jc w:val="both"/>
        <w:rPr>
          <w:sz w:val="20"/>
          <w:szCs w:val="20"/>
        </w:rPr>
      </w:pPr>
      <w:r>
        <w:rPr>
          <w:rStyle w:val="Refdenotaalpie"/>
        </w:rPr>
        <w:footnoteRef/>
      </w:r>
      <w:r>
        <w:t xml:space="preserve"> </w:t>
      </w:r>
      <w:r w:rsidRPr="00A47387">
        <w:rPr>
          <w:sz w:val="20"/>
          <w:szCs w:val="20"/>
        </w:rPr>
        <w:t>No debemos olvidar En Diciembre del año 2000, The Washington Post publicó una serie de artículos bajo el título de “</w:t>
      </w:r>
      <w:r w:rsidRPr="00B42E8F">
        <w:rPr>
          <w:b/>
          <w:i/>
          <w:sz w:val="20"/>
          <w:szCs w:val="20"/>
        </w:rPr>
        <w:t>The Body Hunters</w:t>
      </w:r>
      <w:r w:rsidRPr="00B42E8F">
        <w:rPr>
          <w:i/>
          <w:sz w:val="20"/>
          <w:szCs w:val="20"/>
        </w:rPr>
        <w:t>” donde denunciaba investigaciones no éticas llevadas a cabo en países pobres por las mayores compañías de medicamentos, por pequeñas firmas de biotecnología, y por las universidades y el gobierno de los Estados Unidos. El crecimiento de las investigaciones en países periféricos había sido progresivamente desbordante a partir de la década de los noventa. El interés por desarrollar investigaciones en estos países era asociado al menor costo de las mismas, la mayor rapidez con que podían ser realizadas, la menor oposición por parte de los pacientes que necesitados de medicamentos firmaban el consentimiento con mayor facilidad, y hacía énfasis en los sistemas de regulación y de evaluación ética más débiles. De esta forma los participantes en investigaciones biomédicas quedaban desprotegidos por la debilidad de los sistemas de regulación y de evaluación ética.</w:t>
      </w:r>
      <w:r>
        <w:rPr>
          <w:sz w:val="20"/>
          <w:szCs w:val="20"/>
        </w:rPr>
        <w:t xml:space="preserve"> </w:t>
      </w:r>
      <w:r w:rsidRPr="00A47387">
        <w:rPr>
          <w:sz w:val="20"/>
          <w:szCs w:val="20"/>
        </w:rPr>
        <w:t>(</w:t>
      </w:r>
      <w:r>
        <w:rPr>
          <w:sz w:val="20"/>
          <w:szCs w:val="20"/>
        </w:rPr>
        <w:t xml:space="preserve">Consultado en </w:t>
      </w:r>
      <w:r w:rsidRPr="00A47387">
        <w:rPr>
          <w:b/>
          <w:i/>
          <w:iCs/>
          <w:sz w:val="20"/>
          <w:szCs w:val="20"/>
        </w:rPr>
        <w:t>Comités de ética de investigación en humanos</w:t>
      </w:r>
      <w:r w:rsidRPr="00A47387">
        <w:rPr>
          <w:i/>
          <w:iCs/>
          <w:sz w:val="20"/>
          <w:szCs w:val="20"/>
        </w:rPr>
        <w:t>:</w:t>
      </w:r>
      <w:r>
        <w:rPr>
          <w:i/>
          <w:iCs/>
          <w:sz w:val="20"/>
          <w:szCs w:val="20"/>
        </w:rPr>
        <w:t xml:space="preserve"> </w:t>
      </w:r>
      <w:r w:rsidRPr="00A47387">
        <w:rPr>
          <w:i/>
          <w:iCs/>
          <w:sz w:val="20"/>
          <w:szCs w:val="20"/>
        </w:rPr>
        <w:t>una experiencia colombiana</w:t>
      </w:r>
      <w:r>
        <w:rPr>
          <w:i/>
          <w:iCs/>
          <w:sz w:val="20"/>
          <w:szCs w:val="20"/>
        </w:rPr>
        <w:t xml:space="preserve"> </w:t>
      </w:r>
      <w:r w:rsidRPr="00A47387">
        <w:rPr>
          <w:i/>
          <w:iCs/>
          <w:sz w:val="20"/>
          <w:szCs w:val="20"/>
        </w:rPr>
        <w:t>María Consuelo Miranda MD, MSc</w:t>
      </w:r>
      <w:r>
        <w:rPr>
          <w:i/>
          <w:iCs/>
          <w:sz w:val="20"/>
          <w:szCs w:val="20"/>
        </w:rPr>
        <w:t>. Consultado en google el 30 de junio de 2010. Documento en PDF)</w:t>
      </w:r>
    </w:p>
  </w:footnote>
  <w:footnote w:id="10">
    <w:p w:rsidR="00CE6147" w:rsidRPr="00925368" w:rsidRDefault="00CE6147" w:rsidP="00786A47">
      <w:pPr>
        <w:pStyle w:val="Textonotapie"/>
        <w:jc w:val="both"/>
        <w:rPr>
          <w:rFonts w:ascii="Arial" w:hAnsi="Arial" w:cs="Arial"/>
        </w:rPr>
      </w:pPr>
      <w:r w:rsidRPr="00925368">
        <w:rPr>
          <w:rStyle w:val="Refdenotaalpie"/>
          <w:rFonts w:ascii="Arial" w:hAnsi="Arial" w:cs="Arial"/>
        </w:rPr>
        <w:footnoteRef/>
      </w:r>
      <w:r w:rsidRPr="00925368">
        <w:rPr>
          <w:rFonts w:ascii="Arial" w:hAnsi="Arial" w:cs="Arial"/>
        </w:rPr>
        <w:t xml:space="preserve"> </w:t>
      </w:r>
      <w:r w:rsidRPr="008949BF">
        <w:t xml:space="preserve">Debemos indicar que en el trabajo de </w:t>
      </w:r>
      <w:smartTag w:uri="urn:schemas-microsoft-com:office:smarttags" w:element="PersonName">
        <w:smartTagPr>
          <w:attr w:name="ProductID" w:val="la Corte Constitucional"/>
        </w:smartTagPr>
        <w:r w:rsidRPr="008949BF">
          <w:t>la Corte Constitucional</w:t>
        </w:r>
      </w:smartTag>
      <w:r w:rsidRPr="008949BF">
        <w:t xml:space="preserve"> en este campo existen varias sentencias que son valiosas para referenciar: En las revisiones de Tutela encontramos en orden cronológico: T-599 de 1995; T-477 de 1995; T-551 de 1999; T-692 de 1999; T-1390 de 2000; T-850 de 2002; T-412 de 2004, todas en conjunto se refieren al tema del consentimiento informado y en especial lo que tiene que ver con los menores de edad y el cambio de sexo de los mismos para el cual </w:t>
      </w:r>
      <w:smartTag w:uri="urn:schemas-microsoft-com:office:smarttags" w:element="PersonName">
        <w:smartTagPr>
          <w:attr w:name="ProductID" w:val="la Corporaci￳n"/>
        </w:smartTagPr>
        <w:r w:rsidRPr="008949BF">
          <w:t>la Corporación</w:t>
        </w:r>
      </w:smartTag>
      <w:r w:rsidRPr="008949BF">
        <w:t xml:space="preserve"> fijó parámetros muy rigurosos buscando la protección de los derechos de estos menores. En lo que tiene que ver con sentencias de constitucionalidad, se percibe como importante </w:t>
      </w:r>
      <w:smartTag w:uri="urn:schemas-microsoft-com:office:smarttags" w:element="PersonName">
        <w:smartTagPr>
          <w:attr w:name="ProductID" w:val="la Sentencia C-"/>
        </w:smartTagPr>
        <w:r w:rsidRPr="008949BF">
          <w:t>la Sentencia C-</w:t>
        </w:r>
      </w:smartTag>
      <w:r w:rsidRPr="008949BF">
        <w:t xml:space="preserve"> 264 de 1996 la cual revisó la constitucionalidad del artículo 38 de </w:t>
      </w:r>
      <w:smartTag w:uri="urn:schemas-microsoft-com:office:smarttags" w:element="PersonName">
        <w:smartTagPr>
          <w:attr w:name="ProductID" w:val="la Ley"/>
        </w:smartTagPr>
        <w:r w:rsidRPr="008949BF">
          <w:t>la Ley</w:t>
        </w:r>
      </w:smartTag>
      <w:r w:rsidRPr="008949BF">
        <w:t xml:space="preserve"> 23 de 1981. En esta oportunidad declaró exequible la norma. También es conveniente resaltar la sentencia SU – 337 de 1997 que trató el tema del cambio de sexo y como su naturaleza lo señala, unificó la jurisprudencia al respecto.</w:t>
      </w:r>
    </w:p>
  </w:footnote>
  <w:footnote w:id="11">
    <w:p w:rsidR="00CE6147" w:rsidRPr="00824EC6" w:rsidRDefault="00CE6147" w:rsidP="00786A47">
      <w:pPr>
        <w:autoSpaceDE w:val="0"/>
        <w:autoSpaceDN w:val="0"/>
        <w:adjustRightInd w:val="0"/>
        <w:jc w:val="both"/>
        <w:rPr>
          <w:b/>
          <w:bCs/>
          <w:i/>
          <w:color w:val="231F20"/>
          <w:sz w:val="20"/>
          <w:szCs w:val="20"/>
        </w:rPr>
      </w:pPr>
      <w:r>
        <w:rPr>
          <w:rStyle w:val="Refdenotaalpie"/>
        </w:rPr>
        <w:footnoteRef/>
      </w:r>
      <w:r>
        <w:t xml:space="preserve">    </w:t>
      </w:r>
      <w:r w:rsidRPr="00D8034E">
        <w:rPr>
          <w:color w:val="231F20"/>
          <w:sz w:val="20"/>
          <w:szCs w:val="20"/>
        </w:rPr>
        <w:t>MÓNICA ARANGO OLAYA</w:t>
      </w:r>
      <w:r w:rsidRPr="00D8034E">
        <w:rPr>
          <w:b/>
          <w:bCs/>
          <w:color w:val="231F20"/>
          <w:sz w:val="20"/>
          <w:szCs w:val="20"/>
        </w:rPr>
        <w:t xml:space="preserve"> EL BLOQUE DE CONSTITUCIONALIDAD EN LA JURISPRUDENCIA DE LA CORTE </w:t>
      </w:r>
      <w:r>
        <w:rPr>
          <w:b/>
          <w:bCs/>
          <w:color w:val="231F20"/>
          <w:sz w:val="20"/>
          <w:szCs w:val="20"/>
        </w:rPr>
        <w:t xml:space="preserve">CONSTITUCIONAL COLOMBIANA. </w:t>
      </w:r>
      <w:r w:rsidRPr="00D8034E">
        <w:rPr>
          <w:bCs/>
          <w:color w:val="231F20"/>
          <w:sz w:val="20"/>
          <w:szCs w:val="20"/>
        </w:rPr>
        <w:t>Consultado en</w:t>
      </w:r>
      <w:r>
        <w:rPr>
          <w:b/>
          <w:bCs/>
          <w:color w:val="231F20"/>
          <w:sz w:val="20"/>
          <w:szCs w:val="20"/>
        </w:rPr>
        <w:t xml:space="preserve"> </w:t>
      </w:r>
      <w:r w:rsidRPr="00786A47">
        <w:rPr>
          <w:bCs/>
          <w:sz w:val="20"/>
          <w:szCs w:val="20"/>
        </w:rPr>
        <w:t>https://bibliotecadigital.icesi.edu.co/biblioteca_digital/bitstream/item/949/1/Bloque_constitucionalidad.pdf</w:t>
      </w:r>
      <w:r>
        <w:rPr>
          <w:bCs/>
          <w:color w:val="231F20"/>
          <w:sz w:val="20"/>
          <w:szCs w:val="20"/>
        </w:rPr>
        <w:t xml:space="preserve"> (revisado el 5 de julio de 2010). La autora expone el concepto de la siguiente forma:</w:t>
      </w:r>
      <w:r w:rsidRPr="00824EC6">
        <w:rPr>
          <w:rFonts w:ascii="GoudyOldStyleBT-Roman" w:hAnsi="GoudyOldStyleBT-Roman" w:cs="GoudyOldStyleBT-Roman"/>
          <w:color w:val="231F20"/>
          <w:sz w:val="22"/>
          <w:szCs w:val="22"/>
        </w:rPr>
        <w:t xml:space="preserve"> </w:t>
      </w:r>
      <w:r w:rsidRPr="00824EC6">
        <w:rPr>
          <w:i/>
          <w:color w:val="231F20"/>
          <w:sz w:val="20"/>
          <w:szCs w:val="20"/>
        </w:rPr>
        <w:t>El bloque de constitucionalidad se refiere a aquellas normas y principios que, sin aparecer formalmente en el articulado del texto constitucional, son utilizados como parámetros del control de constitucionalidad de las leyes, por cuanto han sido normativamente integrados a la Constitución, por diversas vías y por mandato de la propia Constitución. El bloque de constitucionalidad es un término que comenzó a utilizar la Corte Constitucional colombiana sólo a partir de 1995 pero que como concepto se venía aplicando desde años anteriores utilizando los valores y principios en el texto constitucional para asegurar la permanencia y obligatoriedad del contenido material del mismo. De esta manera, a partir del año 1995 la</w:t>
      </w:r>
      <w:r>
        <w:rPr>
          <w:i/>
          <w:color w:val="231F20"/>
          <w:sz w:val="20"/>
          <w:szCs w:val="20"/>
        </w:rPr>
        <w:t xml:space="preserve"> </w:t>
      </w:r>
      <w:r w:rsidRPr="00824EC6">
        <w:rPr>
          <w:i/>
          <w:color w:val="231F20"/>
          <w:sz w:val="20"/>
          <w:szCs w:val="20"/>
        </w:rPr>
        <w:t xml:space="preserve">Corte ha ido moldeando su jurisprudencia para legitimar el valor de ciertas normas y principios supranacionales que se encuentran incorporados en la Carta y que por lo tanto son parámetros del control de </w:t>
      </w:r>
      <w:r w:rsidR="00985B3B" w:rsidRPr="00824EC6">
        <w:rPr>
          <w:i/>
          <w:color w:val="231F20"/>
          <w:sz w:val="20"/>
          <w:szCs w:val="20"/>
        </w:rPr>
        <w:t>constitucionalidad,</w:t>
      </w:r>
      <w:r w:rsidRPr="00824EC6">
        <w:rPr>
          <w:i/>
          <w:color w:val="231F20"/>
          <w:sz w:val="20"/>
          <w:szCs w:val="20"/>
        </w:rPr>
        <w:t xml:space="preserve"> así como parámetros vinculantes de interpretación de los derechos y deberes protegidos por la norma suprema.</w:t>
      </w:r>
    </w:p>
    <w:p w:rsidR="00CE6147" w:rsidRDefault="00CE6147" w:rsidP="00786A47">
      <w:pPr>
        <w:pStyle w:val="Textonotapie"/>
        <w:jc w:val="both"/>
      </w:pPr>
    </w:p>
  </w:footnote>
  <w:footnote w:id="12">
    <w:p w:rsidR="00CE6147" w:rsidRDefault="00CE6147" w:rsidP="00786A47">
      <w:pPr>
        <w:pStyle w:val="Textonotapie"/>
        <w:jc w:val="both"/>
      </w:pPr>
      <w:r>
        <w:rPr>
          <w:rStyle w:val="Refdenotaalpie"/>
        </w:rPr>
        <w:footnoteRef/>
      </w:r>
      <w:r>
        <w:t xml:space="preserve"> Este ítem se extrae en su totalidad del texto ya referenciado: </w:t>
      </w:r>
      <w:r w:rsidRPr="00042721">
        <w:rPr>
          <w:b/>
        </w:rPr>
        <w:t>FRANKLYN FAJARDO SANDOVAL</w:t>
      </w:r>
      <w:r>
        <w:t xml:space="preserve"> y </w:t>
      </w:r>
      <w:r w:rsidRPr="00042721">
        <w:rPr>
          <w:b/>
        </w:rPr>
        <w:t>LUIS EDUARDO RUANO</w:t>
      </w:r>
      <w:r>
        <w:t>. El consentimiento informado. Del paternalismo a la reivindicación de los derechos humanos del paciente. Editorial Gustavo Ibáñez. Bogotá 2009. Debe indicarse que existen varios códigos de ética a los que deberá acudirse según el profesional del que se trate: anestesiología, enfermería, etc. pues cada uno de ellos contiene la obligatoriedad de tomar el consentimiento informado del paciente, previo a cualquier acto del profesional de la salud.</w:t>
      </w:r>
    </w:p>
  </w:footnote>
  <w:footnote w:id="13">
    <w:p w:rsidR="00CE6147" w:rsidRPr="00042721" w:rsidRDefault="00CE6147" w:rsidP="00786A47">
      <w:pPr>
        <w:pStyle w:val="Textonotapie"/>
        <w:jc w:val="both"/>
        <w:rPr>
          <w:lang w:val="es-ES_tradnl"/>
        </w:rPr>
      </w:pPr>
      <w:r w:rsidRPr="00042721">
        <w:rPr>
          <w:rStyle w:val="Refdenotaalpie"/>
        </w:rPr>
        <w:footnoteRef/>
      </w:r>
      <w:r w:rsidRPr="00042721">
        <w:t xml:space="preserve">Esta norma reglamenta </w:t>
      </w:r>
      <w:smartTag w:uri="urn:schemas-microsoft-com:office:smarttags" w:element="PersonName">
        <w:smartTagPr>
          <w:attr w:name="ProductID" w:val="la Ley"/>
        </w:smartTagPr>
        <w:r w:rsidRPr="00042721">
          <w:t>la Ley</w:t>
        </w:r>
      </w:smartTag>
      <w:r w:rsidRPr="00042721">
        <w:t xml:space="preserve"> 23 de 1981.</w:t>
      </w:r>
    </w:p>
  </w:footnote>
  <w:footnote w:id="14">
    <w:p w:rsidR="00CE6147" w:rsidRPr="00925368" w:rsidRDefault="00CE6147" w:rsidP="00786A47">
      <w:pPr>
        <w:pStyle w:val="Textonotapie"/>
        <w:jc w:val="both"/>
        <w:rPr>
          <w:rFonts w:ascii="Arial" w:hAnsi="Arial" w:cs="Arial"/>
          <w:lang w:val="es-ES_tradnl"/>
        </w:rPr>
      </w:pPr>
      <w:r w:rsidRPr="00042721">
        <w:rPr>
          <w:rStyle w:val="Refdenotaalpie"/>
        </w:rPr>
        <w:footnoteRef/>
      </w:r>
      <w:r w:rsidRPr="00042721">
        <w:t xml:space="preserve"> REPÚBLICA DE COLOMBIA, Ministerio de Salud. Resolución 13437 de 1991.</w:t>
      </w:r>
    </w:p>
  </w:footnote>
  <w:footnote w:id="15">
    <w:p w:rsidR="00CE6147" w:rsidRPr="008949BF" w:rsidRDefault="00CE6147" w:rsidP="00786A47">
      <w:pPr>
        <w:pStyle w:val="Textonotapie"/>
        <w:jc w:val="both"/>
        <w:rPr>
          <w:lang w:val="es-ES_tradnl"/>
        </w:rPr>
      </w:pPr>
      <w:r w:rsidRPr="008949BF">
        <w:rPr>
          <w:rStyle w:val="Refdenotaalpie"/>
        </w:rPr>
        <w:footnoteRef/>
      </w:r>
      <w:r w:rsidRPr="008949BF">
        <w:t xml:space="preserve"> Ibíd.</w:t>
      </w:r>
    </w:p>
  </w:footnote>
  <w:footnote w:id="16">
    <w:p w:rsidR="00CE6147" w:rsidRPr="008949BF" w:rsidRDefault="00CE6147" w:rsidP="00786A47">
      <w:pPr>
        <w:pStyle w:val="Textonotapie"/>
        <w:jc w:val="both"/>
        <w:rPr>
          <w:lang w:val="es-ES_tradnl"/>
        </w:rPr>
      </w:pPr>
      <w:r w:rsidRPr="008949BF">
        <w:rPr>
          <w:rStyle w:val="Refdenotaalpie"/>
        </w:rPr>
        <w:footnoteRef/>
      </w:r>
      <w:r w:rsidRPr="008949BF">
        <w:t xml:space="preserve"> REPÚBLICA DE COLOMBIA. Ley 23 de 1981. </w:t>
      </w:r>
    </w:p>
  </w:footnote>
  <w:footnote w:id="17">
    <w:p w:rsidR="00CE6147" w:rsidRDefault="00CE6147" w:rsidP="00786A47">
      <w:pPr>
        <w:pStyle w:val="Textonotapie"/>
        <w:jc w:val="both"/>
      </w:pPr>
      <w:r>
        <w:rPr>
          <w:rStyle w:val="Refdenotaalpie"/>
        </w:rPr>
        <w:footnoteRef/>
      </w:r>
      <w:r>
        <w:t xml:space="preserve"> Consultado en </w:t>
      </w:r>
      <w:r w:rsidRPr="00A47387">
        <w:rPr>
          <w:b/>
          <w:i/>
          <w:iCs/>
        </w:rPr>
        <w:t>Comités de ética de investigación en humanos</w:t>
      </w:r>
      <w:r w:rsidRPr="00A47387">
        <w:rPr>
          <w:i/>
          <w:iCs/>
        </w:rPr>
        <w:t>:</w:t>
      </w:r>
      <w:r>
        <w:rPr>
          <w:i/>
          <w:iCs/>
        </w:rPr>
        <w:t xml:space="preserve"> </w:t>
      </w:r>
      <w:r w:rsidRPr="00A47387">
        <w:rPr>
          <w:i/>
          <w:iCs/>
        </w:rPr>
        <w:t>una experiencia colombiana</w:t>
      </w:r>
      <w:r>
        <w:rPr>
          <w:i/>
          <w:iCs/>
        </w:rPr>
        <w:t xml:space="preserve"> </w:t>
      </w:r>
      <w:r w:rsidRPr="00A47387">
        <w:rPr>
          <w:i/>
          <w:iCs/>
        </w:rPr>
        <w:t>María Consuelo Miranda MD, MSc</w:t>
      </w:r>
      <w:r>
        <w:rPr>
          <w:i/>
          <w:iCs/>
        </w:rPr>
        <w:t>. Consultado en google el 30 de junio de 2010. Documento en PDF</w:t>
      </w:r>
    </w:p>
  </w:footnote>
  <w:footnote w:id="18">
    <w:p w:rsidR="00CE6147" w:rsidRPr="000F0B16" w:rsidRDefault="00CE6147" w:rsidP="00786A47">
      <w:pPr>
        <w:pStyle w:val="NormalWeb"/>
        <w:jc w:val="both"/>
        <w:rPr>
          <w:sz w:val="20"/>
          <w:szCs w:val="20"/>
        </w:rPr>
      </w:pPr>
      <w:r>
        <w:rPr>
          <w:rStyle w:val="Refdenotaalpie"/>
        </w:rPr>
        <w:footnoteRef/>
      </w:r>
      <w:r>
        <w:t xml:space="preserve"> </w:t>
      </w:r>
      <w:r w:rsidRPr="000F0B16">
        <w:rPr>
          <w:b/>
          <w:bCs/>
          <w:iCs/>
          <w:sz w:val="20"/>
          <w:szCs w:val="20"/>
        </w:rPr>
        <w:t xml:space="preserve">Por la cual se constituyen los comités de Ética Hospitalaria y </w:t>
      </w:r>
      <w:r w:rsidRPr="000F0B16">
        <w:rPr>
          <w:b/>
          <w:bCs/>
          <w:iCs/>
          <w:sz w:val="20"/>
          <w:szCs w:val="20"/>
        </w:rPr>
        <w:br/>
        <w:t>se adoptan el Decálogo de los Derechos de los Pacientes.</w:t>
      </w:r>
    </w:p>
    <w:p w:rsidR="00CE6147" w:rsidRPr="000F0B16" w:rsidRDefault="00CE6147" w:rsidP="00786A47">
      <w:pPr>
        <w:pStyle w:val="Textonotapie"/>
        <w:jc w:val="both"/>
        <w:rPr>
          <w:i/>
        </w:rPr>
      </w:pPr>
      <w:r>
        <w:t xml:space="preserve">Este acto administrativo señala en su parte considerativa: </w:t>
      </w:r>
      <w:r w:rsidRPr="000F0B16">
        <w:rPr>
          <w:b/>
        </w:rPr>
        <w:br/>
      </w:r>
      <w:r>
        <w:t>“</w:t>
      </w:r>
      <w:r w:rsidRPr="000F0B16">
        <w:rPr>
          <w:i/>
        </w:rPr>
        <w:t xml:space="preserve">Que corresponde a la dirección Nacional del Sistema de Salud, como ente rector, desarrollar las políticas, planes y proyectos y las normas técnico administrativas para el </w:t>
      </w:r>
      <w:r w:rsidRPr="000F0B16">
        <w:rPr>
          <w:b/>
          <w:i/>
        </w:rPr>
        <w:t>mejoramiento de la calidad del servicio de salud, que propendan por la humanización de la atención en salud</w:t>
      </w:r>
      <w:r w:rsidRPr="000F0B16">
        <w:rPr>
          <w:i/>
        </w:rPr>
        <w:t xml:space="preserve">, por ser un servicio público a cargo de la Nación. </w:t>
      </w:r>
      <w:r w:rsidRPr="000F0B16">
        <w:rPr>
          <w:i/>
        </w:rPr>
        <w:br/>
        <w:t xml:space="preserve">Que corresponde al Estado intervenir y establecer las modalidades y formas de participación comunitaria para el mejoramiento en la prestación de los servicios. </w:t>
      </w:r>
      <w:r w:rsidRPr="000F0B16">
        <w:rPr>
          <w:i/>
        </w:rPr>
        <w:br/>
        <w:t xml:space="preserve">Que el Artículo 25 de la </w:t>
      </w:r>
      <w:r w:rsidRPr="000F0B16">
        <w:rPr>
          <w:b/>
          <w:i/>
          <w:u w:val="single"/>
        </w:rPr>
        <w:t>Declaración Universal de los Derechos Humanos</w:t>
      </w:r>
      <w:r w:rsidRPr="000F0B16">
        <w:rPr>
          <w:i/>
        </w:rPr>
        <w:t xml:space="preserve">, adoptada por la Asamblea General de las Naciones Unidas, señala que toda persona tiene derecho a la asistencia médica. </w:t>
      </w:r>
      <w:r>
        <w:rPr>
          <w:i/>
        </w:rPr>
        <w:t xml:space="preserve"> </w:t>
      </w:r>
      <w:r w:rsidRPr="000F0B16">
        <w:rPr>
          <w:i/>
        </w:rPr>
        <w:t xml:space="preserve">Que el </w:t>
      </w:r>
      <w:r w:rsidRPr="000F0B16">
        <w:rPr>
          <w:b/>
          <w:i/>
          <w:u w:val="single"/>
        </w:rPr>
        <w:t>Pacto Internacional de Derechos Económicos, Sociales y Culturales</w:t>
      </w:r>
      <w:r w:rsidRPr="000F0B16">
        <w:rPr>
          <w:i/>
        </w:rPr>
        <w:t xml:space="preserve">, adoptado por la Asamblea General de las Naciones Unidas, reconoce el derecho de toda persona del disfrute del más alto nivel posible de salud física y mental y del goce de los beneficios del progreso científico y de sus aplicaciones. </w:t>
      </w:r>
      <w:r w:rsidRPr="000F0B16">
        <w:rPr>
          <w:i/>
        </w:rPr>
        <w:br/>
        <w:t xml:space="preserve">Que la </w:t>
      </w:r>
      <w:r w:rsidRPr="000F0B16">
        <w:rPr>
          <w:b/>
          <w:i/>
          <w:u w:val="single"/>
        </w:rPr>
        <w:t>Asamblea Médica Mundial</w:t>
      </w:r>
      <w:r w:rsidRPr="000F0B16">
        <w:rPr>
          <w:i/>
        </w:rPr>
        <w:t xml:space="preserve"> ha recomendado a los profesionales de la Salud dedicados a la investigación, seguir algunas normas que, a manera de guía deben observarse cuando se trate de hacer estudios en humanos. </w:t>
      </w:r>
      <w:r w:rsidRPr="000F0B16">
        <w:rPr>
          <w:i/>
        </w:rPr>
        <w:br/>
        <w:t xml:space="preserve">Que realizado el Primer Simposio Nacional sobre los Derechos del Paciente, convocado por la Facultad de Medicina de la Universidad Nacional de Colombia, y por la Consejería Presidencial para la Defensa, Promoción y Protección de los Derechos Humanos, se hizo relevante la necesidad de proteger y enaltecer estos Derechos, y </w:t>
      </w:r>
      <w:r w:rsidRPr="000F0B16">
        <w:rPr>
          <w:b/>
          <w:i/>
          <w:u w:val="single"/>
        </w:rPr>
        <w:t>recomendó la adopción de los Derechos de Paciente</w:t>
      </w:r>
      <w:r w:rsidRPr="000F0B16">
        <w:rPr>
          <w:i/>
        </w:rPr>
        <w:t xml:space="preserve"> como el debería ser que el pueblo colombiano debe esforzarse en cumplir, de tal o cual manera que, tanto los ciudadanos como las instituciones prestadoras de servicios de salud, inspirándose en ellas, la promuevan mediante la educación a la comunidad y velen porque la respeten.</w:t>
      </w:r>
    </w:p>
  </w:footnote>
  <w:footnote w:id="19">
    <w:p w:rsidR="00CE6147" w:rsidRPr="00DA79E2" w:rsidRDefault="00CE6147" w:rsidP="00786A47">
      <w:pPr>
        <w:pStyle w:val="NormalWeb"/>
        <w:jc w:val="both"/>
        <w:rPr>
          <w:i/>
          <w:sz w:val="20"/>
          <w:szCs w:val="20"/>
        </w:rPr>
      </w:pPr>
      <w:r>
        <w:rPr>
          <w:rStyle w:val="Refdenotaalpie"/>
        </w:rPr>
        <w:footnoteRef/>
      </w:r>
      <w:r>
        <w:t xml:space="preserve"> </w:t>
      </w:r>
      <w:r w:rsidRPr="00DA79E2">
        <w:rPr>
          <w:sz w:val="20"/>
          <w:szCs w:val="20"/>
        </w:rPr>
        <w:t>Consultado en</w:t>
      </w:r>
      <w:r>
        <w:t xml:space="preserve"> </w:t>
      </w:r>
      <w:r w:rsidRPr="00786A47">
        <w:rPr>
          <w:sz w:val="20"/>
        </w:rPr>
        <w:t>http://www.scielo.unal.edu.co/scielo.php?script=sci_arttext&amp;pid=S1657-95342008000400002&amp;lng=es&amp;nrm=iso</w:t>
      </w:r>
      <w:r>
        <w:rPr>
          <w:sz w:val="20"/>
        </w:rPr>
        <w:t xml:space="preserve"> (5 de julio de 2010) </w:t>
      </w:r>
      <w:r w:rsidRPr="00DA79E2">
        <w:rPr>
          <w:b/>
          <w:bCs/>
          <w:sz w:val="20"/>
          <w:szCs w:val="20"/>
        </w:rPr>
        <w:t>Mauricio Palacios</w:t>
      </w:r>
      <w:r>
        <w:rPr>
          <w:b/>
          <w:bCs/>
          <w:sz w:val="20"/>
          <w:szCs w:val="20"/>
        </w:rPr>
        <w:t>.</w:t>
      </w:r>
      <w:r w:rsidRPr="00DA79E2">
        <w:rPr>
          <w:b/>
          <w:bCs/>
          <w:sz w:val="20"/>
          <w:szCs w:val="20"/>
        </w:rPr>
        <w:t xml:space="preserve"> MD</w:t>
      </w:r>
      <w:r>
        <w:rPr>
          <w:b/>
          <w:bCs/>
          <w:sz w:val="20"/>
          <w:szCs w:val="20"/>
        </w:rPr>
        <w:t>.</w:t>
      </w:r>
      <w:r w:rsidRPr="00DA79E2">
        <w:rPr>
          <w:b/>
          <w:bCs/>
          <w:sz w:val="20"/>
          <w:szCs w:val="20"/>
        </w:rPr>
        <w:t xml:space="preserve"> MSc</w:t>
      </w:r>
      <w:r w:rsidRPr="00DA79E2">
        <w:rPr>
          <w:sz w:val="20"/>
          <w:szCs w:val="20"/>
        </w:rPr>
        <w:t xml:space="preserve"> </w:t>
      </w:r>
      <w:r w:rsidRPr="00DA79E2">
        <w:rPr>
          <w:sz w:val="20"/>
          <w:szCs w:val="20"/>
        </w:rPr>
        <w:br/>
        <w:t xml:space="preserve">Editor Asistente revista Colombia Médica </w:t>
      </w:r>
      <w:r w:rsidRPr="00DA79E2">
        <w:rPr>
          <w:sz w:val="20"/>
          <w:szCs w:val="20"/>
        </w:rPr>
        <w:br/>
        <w:t xml:space="preserve">Profesor Asistente, Sección de Farmacología </w:t>
      </w:r>
      <w:r w:rsidRPr="00DA79E2">
        <w:rPr>
          <w:sz w:val="20"/>
          <w:szCs w:val="20"/>
        </w:rPr>
        <w:br/>
        <w:t>Universidad del Valle, Cali, Colombia</w:t>
      </w:r>
      <w:r>
        <w:rPr>
          <w:sz w:val="20"/>
          <w:szCs w:val="20"/>
        </w:rPr>
        <w:t xml:space="preserve">. </w:t>
      </w:r>
      <w:r w:rsidRPr="00DA79E2">
        <w:rPr>
          <w:sz w:val="20"/>
          <w:szCs w:val="20"/>
        </w:rPr>
        <w:t xml:space="preserve"> </w:t>
      </w:r>
      <w:r w:rsidRPr="00DA79E2">
        <w:rPr>
          <w:b/>
          <w:bCs/>
          <w:i/>
          <w:sz w:val="20"/>
          <w:szCs w:val="20"/>
        </w:rPr>
        <w:t xml:space="preserve">Las Buenas Prácticas Clínicas en Colombia </w:t>
      </w:r>
      <w:r w:rsidRPr="00DA79E2">
        <w:rPr>
          <w:i/>
          <w:sz w:val="20"/>
          <w:szCs w:val="20"/>
        </w:rPr>
        <w:t>La investigación clínica en Colombia ha tenido un desarrollo más lento cuando se compara con la investigación básica biomédica. Se pueden identificar algunos factores para fortalecer las instituciones relacionadas con investigación y de esta manera ampliar el potencial científico.</w:t>
      </w:r>
    </w:p>
    <w:p w:rsidR="00CE6147" w:rsidRPr="00DA79E2" w:rsidRDefault="00CE6147" w:rsidP="00786A47">
      <w:pPr>
        <w:pStyle w:val="NormalWeb"/>
        <w:jc w:val="both"/>
        <w:rPr>
          <w:i/>
          <w:sz w:val="20"/>
          <w:szCs w:val="20"/>
        </w:rPr>
      </w:pPr>
      <w:r w:rsidRPr="00DA79E2">
        <w:rPr>
          <w:i/>
          <w:sz w:val="20"/>
          <w:szCs w:val="20"/>
        </w:rPr>
        <w:t>El primer factor para promover la investigación es la comprensión de las ventajas de tener capacidad nacional de diseñar y realizar ensayos clínicos controlados: Aportes exitosos de la medicina colombiana como el programa «Mamá Canguro» hubiesen llegado más rápidamente y de forma contundente a la comunidad científica mundial si se dispusiera de esa metodología en esa época en el país; la validación farmacológica de plantas medicinales colombianas requiere estudios en humanos para poder respaldar una industrialización de este renglón de la economía nacional</w:t>
      </w:r>
      <w:hyperlink r:id="rId1" w:anchor="1" w:history="1">
        <w:r w:rsidRPr="00DA79E2">
          <w:rPr>
            <w:rStyle w:val="Hipervnculo"/>
            <w:i/>
            <w:sz w:val="20"/>
            <w:szCs w:val="20"/>
            <w:vertAlign w:val="superscript"/>
          </w:rPr>
          <w:t>1</w:t>
        </w:r>
      </w:hyperlink>
      <w:r w:rsidRPr="00DA79E2">
        <w:rPr>
          <w:i/>
          <w:sz w:val="20"/>
          <w:szCs w:val="20"/>
          <w:vertAlign w:val="superscript"/>
        </w:rPr>
        <w:t>-</w:t>
      </w:r>
      <w:hyperlink r:id="rId2" w:anchor="2" w:history="1">
        <w:r w:rsidRPr="00DA79E2">
          <w:rPr>
            <w:rStyle w:val="Hipervnculo"/>
            <w:i/>
            <w:sz w:val="20"/>
            <w:szCs w:val="20"/>
            <w:vertAlign w:val="superscript"/>
          </w:rPr>
          <w:t>2</w:t>
        </w:r>
      </w:hyperlink>
      <w:r w:rsidRPr="00DA79E2">
        <w:rPr>
          <w:i/>
          <w:sz w:val="20"/>
          <w:szCs w:val="20"/>
        </w:rPr>
        <w:t>; y la generación de equipos y suministros médicos que aportan las áreas de ingenierías y diseño necesitan una comprobación que muestre sus bondades más allá de un análisis de costos y la obtención de una patente.</w:t>
      </w:r>
      <w:r>
        <w:rPr>
          <w:i/>
          <w:sz w:val="20"/>
          <w:szCs w:val="20"/>
        </w:rPr>
        <w:t xml:space="preserve"> </w:t>
      </w:r>
      <w:r w:rsidRPr="00DA79E2">
        <w:rPr>
          <w:i/>
          <w:sz w:val="20"/>
          <w:szCs w:val="20"/>
        </w:rPr>
        <w:t>El segundo factor es una política estatal clara en búsqueda de esta capacidad, y en eso hay señales no coordinadas que a corto plazo limitarán el desarrollo: Este año, el Ministerio de la Protección Social adoptó las Buenas Prácticas Clínicas que exigen tecnificar los procesos en investigación clínica a las instituciones investigadoras, comités de ética y el INVIMA. La experiencia e implementación de gestión de calidad en estos estamentos es escasa y mientras se obtenga, desestimulará la generación de ensayos clínicos locales. A la vez se evidencia una desigualdad importante, al comparar la competencia de la sociedad y el Estado para regular los protocolos de investigación con respecto a la pericia que tienen las empresas multinacionales que reclutan pacientes en ensayos clínicos en el país. Es necesario planear estrategias de crecimiento para cumplir la disposición y promover este tipo de investigación y ese es el tercer factor.</w:t>
      </w:r>
    </w:p>
    <w:p w:rsidR="00CE6147" w:rsidRPr="00DA79E2" w:rsidRDefault="00CE6147" w:rsidP="00786A47">
      <w:pPr>
        <w:pStyle w:val="NormalWeb"/>
        <w:jc w:val="both"/>
        <w:rPr>
          <w:i/>
          <w:sz w:val="20"/>
          <w:szCs w:val="20"/>
        </w:rPr>
      </w:pPr>
      <w:r w:rsidRPr="00DA79E2">
        <w:rPr>
          <w:i/>
          <w:sz w:val="20"/>
          <w:szCs w:val="20"/>
        </w:rPr>
        <w:t>El tercer factor es planear estrategias de crecimiento institucionales para cumplir la disposición del Ministerio y promover este tipo de investigación. Colciencias, como órgano pragmático de las políticas de Ciencia y Tecnología, tiene la posibilidad de transferir este modelo de investigación, organizar programas de formación específica en este campo y patrocinar convocatorias delimitadas para ensayos clínicos en temas prioritarios en salud con las especificaciones definidas en la Resolución N° 2378 de 20083. Estas convocatorias requieren un enfoque diferente, porque Colciencias debe asumir las obligaciones de patrocinador que define la disposición del Ministerio.</w:t>
      </w:r>
    </w:p>
    <w:p w:rsidR="00CE6147" w:rsidRPr="00DA79E2" w:rsidRDefault="00CE6147" w:rsidP="00786A47">
      <w:pPr>
        <w:pStyle w:val="NormalWeb"/>
        <w:jc w:val="both"/>
        <w:rPr>
          <w:i/>
          <w:sz w:val="20"/>
          <w:szCs w:val="20"/>
        </w:rPr>
      </w:pPr>
      <w:r w:rsidRPr="00DA79E2">
        <w:rPr>
          <w:i/>
          <w:sz w:val="20"/>
          <w:szCs w:val="20"/>
        </w:rPr>
        <w:t>El INVIMA no tiene aún la suficiencia logística para una tarea tan técnica. Entre las opciones para superar este desafío están la cooperación con agencias similares, como la FDA de los Estados Unidos y la EMEA de la Unión Europea, o la contratación de empresas especializadas internacionales independientes de la industria farmacéutica. Ambas alternativas han sido exitosas en otros países con respecto a la organización y mantenimiento de un grupo inspector que requiere un presupuesto considerable, si se pretende una labor efectiva.</w:t>
      </w:r>
    </w:p>
    <w:p w:rsidR="00CE6147" w:rsidRPr="00DA79E2" w:rsidRDefault="00CE6147" w:rsidP="00786A47">
      <w:pPr>
        <w:pStyle w:val="NormalWeb"/>
        <w:jc w:val="both"/>
        <w:rPr>
          <w:i/>
          <w:sz w:val="20"/>
          <w:szCs w:val="20"/>
        </w:rPr>
      </w:pPr>
      <w:r w:rsidRPr="00DA79E2">
        <w:rPr>
          <w:i/>
          <w:sz w:val="20"/>
          <w:szCs w:val="20"/>
        </w:rPr>
        <w:t>Una consideración aparte merece el fortalecimiento de los comités de ética por su delicada labor de estimar la pertinencia de los ensayos clínicos (riesgo) con respecto a las necesidades de la sociedad (retribución). Tasar estos valores es complicado en la realidad latinoamericana, debido a que la Declaración de Helsinki</w:t>
      </w:r>
      <w:hyperlink r:id="rId3" w:anchor="4" w:history="1">
        <w:r w:rsidRPr="00DA79E2">
          <w:rPr>
            <w:rStyle w:val="Hipervnculo"/>
            <w:i/>
            <w:sz w:val="20"/>
            <w:szCs w:val="20"/>
            <w:vertAlign w:val="superscript"/>
          </w:rPr>
          <w:t>4</w:t>
        </w:r>
      </w:hyperlink>
      <w:r w:rsidRPr="00DA79E2">
        <w:rPr>
          <w:i/>
          <w:sz w:val="20"/>
          <w:szCs w:val="20"/>
        </w:rPr>
        <w:t xml:space="preserve"> que en épocas anteriores fue la piedra angular, hoy se debate en críticas por su ambigüedad en los beneficios para los participantes y la justificación de uso de placebos por razones «metodológicas y científicas». Es indispensable la organización de un eje que eduque, apoye y supervise estos comités; ésta es función estatal, posiblemente el Ministerio de Protección Social debe invertir esfuerzos en esta iniciativa.</w:t>
      </w:r>
    </w:p>
    <w:p w:rsidR="00CE6147" w:rsidRPr="00DA79E2" w:rsidRDefault="00CE6147" w:rsidP="00786A47">
      <w:pPr>
        <w:pStyle w:val="NormalWeb"/>
        <w:jc w:val="both"/>
        <w:rPr>
          <w:i/>
          <w:sz w:val="20"/>
          <w:szCs w:val="20"/>
        </w:rPr>
      </w:pPr>
      <w:r w:rsidRPr="00DA79E2">
        <w:rPr>
          <w:i/>
          <w:sz w:val="20"/>
          <w:szCs w:val="20"/>
        </w:rPr>
        <w:t>Por último, con base en lo expuesto, se deduce que la investigación clínica requiere una formación disciplinar de postgrado, que a mediano plazo será el factor más importante para el desarrollo y sostenimiento de esta metodología. Una tarea nueva que deben asumir las facultades de salud, y que beneficiará la educación superior, es introducir en los programas de pregrado y postgrado el léxico del ensayo clínico y una cultura crítica al estudiar los resultados propios y de otros. En los centros de investigación, la integración de ciencias básicas y clínicas es una opción para la construcción de ensayos clínicos porque combina las fortalezas de la rigidez científica con las necesidades de investigación clínica.</w:t>
      </w:r>
      <w:r>
        <w:rPr>
          <w:i/>
          <w:sz w:val="20"/>
          <w:szCs w:val="20"/>
        </w:rPr>
        <w:t>”</w:t>
      </w:r>
    </w:p>
    <w:p w:rsidR="00CE6147" w:rsidRDefault="00CE6147" w:rsidP="00786A47">
      <w:pPr>
        <w:pStyle w:val="Textonotapie"/>
      </w:pPr>
    </w:p>
  </w:footnote>
  <w:footnote w:id="20">
    <w:p w:rsidR="00CE6147" w:rsidRDefault="00CE6147" w:rsidP="00786A47">
      <w:pPr>
        <w:pStyle w:val="Textonotapie"/>
        <w:jc w:val="both"/>
      </w:pPr>
      <w:r>
        <w:rPr>
          <w:rStyle w:val="Refdenotaalpie"/>
        </w:rPr>
        <w:footnoteRef/>
      </w:r>
      <w:r>
        <w:t xml:space="preserve"> Esta parte del marco legal fue extractada en su totalidad de un documento de trabajo de </w:t>
      </w:r>
      <w:r w:rsidRPr="0089483A">
        <w:rPr>
          <w:b/>
        </w:rPr>
        <w:t xml:space="preserve">Vanesa Ordóñez </w:t>
      </w:r>
      <w:r>
        <w:t>quien lo compiló para su tesis de la Facultad de Derecho, Ciencias Políticas y Sociales de la Universidad del Cauca denominada: “La idoneidad del consentimiento sustituto, como recurso del Consentimiento informado para la consumación de los derechos humanos del paciente”. Es un aporte adicional para la labor de los investigadores.</w:t>
      </w:r>
    </w:p>
  </w:footnote>
  <w:footnote w:id="21">
    <w:p w:rsidR="00CE6147" w:rsidRDefault="00CE6147" w:rsidP="00786A47">
      <w:pPr>
        <w:pStyle w:val="Textonotapie"/>
        <w:jc w:val="both"/>
      </w:pPr>
      <w:r>
        <w:rPr>
          <w:rStyle w:val="Refdenotaalpie"/>
        </w:rPr>
        <w:footnoteRef/>
      </w:r>
      <w:r>
        <w:t xml:space="preserve"> </w:t>
      </w:r>
      <w:r w:rsidRPr="00616ACF">
        <w:rPr>
          <w:b/>
        </w:rPr>
        <w:t>Unesco</w:t>
      </w:r>
      <w:r>
        <w:t xml:space="preserve"> en guía No. 3. CAPACITACION DE LOS COMITES DE BIOETICA (ORGANIZACIÓN DE LAS NACIONES UNIDAS PARA LA EDUCACION, LA CIENCIA Y LA CULTURA – DIVISION DE ETICA PARA LA ETICA DE LA CIENCIA Y LA TECNOLOGIA. Francia. 2007.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147" w:rsidRDefault="00CE6147">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4800589" o:spid="_x0000_s2055" type="#_x0000_t136" style="position:absolute;margin-left:0;margin-top:0;width:654.75pt;height:60.75pt;rotation:315;z-index:-251658240;mso-position-horizontal:center;mso-position-horizontal-relative:margin;mso-position-vertical:center;mso-position-vertical-relative:margin" o:allowincell="f" fillcolor="#bfbfbf [2412]" stroked="f">
          <v:fill opacity=".5"/>
          <v:textpath style="font-family:&quot;Arial&quot;;font-size:54pt" string="COPIA NO CONTROLADA"/>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50" w:type="dxa"/>
      <w:tblInd w:w="-34"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ayout w:type="fixed"/>
      <w:tblLook w:val="01E0" w:firstRow="1" w:lastRow="1" w:firstColumn="1" w:lastColumn="1" w:noHBand="0" w:noVBand="0"/>
    </w:tblPr>
    <w:tblGrid>
      <w:gridCol w:w="1418"/>
      <w:gridCol w:w="1011"/>
      <w:gridCol w:w="1276"/>
      <w:gridCol w:w="3544"/>
      <w:gridCol w:w="1701"/>
    </w:tblGrid>
    <w:tr w:rsidR="00CE6147" w:rsidRPr="00AB6E42" w:rsidTr="00CE6147">
      <w:trPr>
        <w:trHeight w:val="1246"/>
      </w:trPr>
      <w:tc>
        <w:tcPr>
          <w:tcW w:w="1418" w:type="dxa"/>
          <w:vAlign w:val="center"/>
        </w:tcPr>
        <w:p w:rsidR="00CE6147" w:rsidRPr="001827EE" w:rsidRDefault="00CE6147" w:rsidP="00AF09ED">
          <w:pPr>
            <w:pStyle w:val="Encabezado"/>
            <w:jc w:val="center"/>
            <w:rPr>
              <w:rFonts w:ascii="Arial" w:hAnsi="Arial" w:cs="Arial"/>
              <w:color w:val="000080"/>
              <w:sz w:val="28"/>
              <w:szCs w:val="28"/>
              <w:lang w:val="es-ES_tradnl"/>
            </w:rPr>
          </w:pPr>
          <w:r>
            <w:rPr>
              <w:rFonts w:ascii="Arial" w:hAnsi="Arial" w:cs="Arial"/>
              <w:noProof/>
              <w:color w:val="000080"/>
              <w:sz w:val="28"/>
              <w:szCs w:val="28"/>
              <w:lang w:val="en-US"/>
            </w:rPr>
            <w:drawing>
              <wp:inline distT="0" distB="0" distL="0" distR="0" wp14:anchorId="122FF5D1" wp14:editId="54F6116A">
                <wp:extent cx="533400" cy="772143"/>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scudovectores-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4770" cy="774127"/>
                        </a:xfrm>
                        <a:prstGeom prst="rect">
                          <a:avLst/>
                        </a:prstGeom>
                      </pic:spPr>
                    </pic:pic>
                  </a:graphicData>
                </a:graphic>
              </wp:inline>
            </w:drawing>
          </w:r>
        </w:p>
      </w:tc>
      <w:tc>
        <w:tcPr>
          <w:tcW w:w="7532" w:type="dxa"/>
          <w:gridSpan w:val="4"/>
        </w:tcPr>
        <w:p w:rsidR="00CE6147" w:rsidRDefault="00CE6147" w:rsidP="00730373">
          <w:pPr>
            <w:jc w:val="center"/>
            <w:rPr>
              <w:rFonts w:ascii="Arial" w:hAnsi="Arial" w:cs="Arial"/>
              <w:b/>
              <w:color w:val="000080"/>
              <w:lang w:val="es-ES_tradnl"/>
            </w:rPr>
          </w:pPr>
        </w:p>
        <w:p w:rsidR="00985B3B" w:rsidRDefault="00985B3B" w:rsidP="0029416C">
          <w:pPr>
            <w:pStyle w:val="Encabezado"/>
            <w:jc w:val="center"/>
            <w:rPr>
              <w:rFonts w:ascii="Arial" w:hAnsi="Arial" w:cs="Arial"/>
              <w:color w:val="000080"/>
              <w:lang w:val="es-ES_tradnl"/>
            </w:rPr>
          </w:pPr>
          <w:r>
            <w:rPr>
              <w:rFonts w:ascii="Arial" w:hAnsi="Arial" w:cs="Arial"/>
              <w:color w:val="000080"/>
              <w:lang w:val="es-ES_tradnl"/>
            </w:rPr>
            <w:t>Proceso Misional</w:t>
          </w:r>
        </w:p>
        <w:p w:rsidR="00CE6147" w:rsidRPr="00A95317" w:rsidRDefault="00CE6147" w:rsidP="0029416C">
          <w:pPr>
            <w:pStyle w:val="Encabezado"/>
            <w:jc w:val="center"/>
            <w:rPr>
              <w:rFonts w:ascii="Arial" w:hAnsi="Arial" w:cs="Arial"/>
              <w:color w:val="000080"/>
              <w:lang w:val="es-ES_tradnl"/>
            </w:rPr>
          </w:pPr>
          <w:r w:rsidRPr="00A95317">
            <w:rPr>
              <w:rFonts w:ascii="Arial" w:hAnsi="Arial" w:cs="Arial"/>
              <w:color w:val="000080"/>
              <w:lang w:val="es-ES_tradnl"/>
            </w:rPr>
            <w:t>Vicerrectoría de Investigaciones</w:t>
          </w:r>
        </w:p>
        <w:p w:rsidR="00CE6147" w:rsidRPr="00C10232" w:rsidRDefault="00CE6147" w:rsidP="00985B3B">
          <w:pPr>
            <w:pStyle w:val="Encabezado"/>
            <w:jc w:val="center"/>
            <w:rPr>
              <w:rFonts w:ascii="Arial" w:hAnsi="Arial" w:cs="Arial"/>
              <w:color w:val="000080"/>
              <w:sz w:val="28"/>
              <w:szCs w:val="28"/>
              <w:lang w:val="es-ES_tradnl"/>
            </w:rPr>
          </w:pPr>
          <w:r>
            <w:rPr>
              <w:rFonts w:ascii="Arial" w:hAnsi="Arial" w:cs="Arial"/>
              <w:color w:val="000080"/>
              <w:lang w:val="es-ES_tradnl"/>
            </w:rPr>
            <w:t>Marco Ético L</w:t>
          </w:r>
          <w:r w:rsidRPr="00786A47">
            <w:rPr>
              <w:rFonts w:ascii="Arial" w:hAnsi="Arial" w:cs="Arial"/>
              <w:color w:val="000080"/>
              <w:lang w:val="es-ES_tradnl"/>
            </w:rPr>
            <w:t>egal</w:t>
          </w:r>
          <w:r w:rsidR="00985B3B">
            <w:rPr>
              <w:rFonts w:ascii="Arial" w:hAnsi="Arial" w:cs="Arial"/>
              <w:color w:val="000080"/>
              <w:lang w:val="es-ES_tradnl"/>
            </w:rPr>
            <w:t xml:space="preserve">, </w:t>
          </w:r>
          <w:r>
            <w:rPr>
              <w:rFonts w:ascii="Arial" w:hAnsi="Arial" w:cs="Arial"/>
              <w:color w:val="000080"/>
              <w:lang w:val="es-ES_tradnl"/>
            </w:rPr>
            <w:t>Comité de É</w:t>
          </w:r>
          <w:r w:rsidRPr="00786A47">
            <w:rPr>
              <w:rFonts w:ascii="Arial" w:hAnsi="Arial" w:cs="Arial"/>
              <w:color w:val="000080"/>
              <w:lang w:val="es-ES_tradnl"/>
            </w:rPr>
            <w:t>tica</w:t>
          </w:r>
          <w:r>
            <w:rPr>
              <w:rFonts w:ascii="Arial" w:hAnsi="Arial" w:cs="Arial"/>
              <w:color w:val="000080"/>
              <w:lang w:val="es-ES_tradnl"/>
            </w:rPr>
            <w:t xml:space="preserve"> para la Investigación C</w:t>
          </w:r>
          <w:r w:rsidRPr="00786A47">
            <w:rPr>
              <w:rFonts w:ascii="Arial" w:hAnsi="Arial" w:cs="Arial"/>
              <w:color w:val="000080"/>
              <w:lang w:val="es-ES_tradnl"/>
            </w:rPr>
            <w:t>ientífica</w:t>
          </w:r>
        </w:p>
      </w:tc>
    </w:tr>
    <w:tr w:rsidR="00CE6147" w:rsidRPr="00AF44AE" w:rsidTr="00CE6147">
      <w:trPr>
        <w:trHeight w:val="27"/>
      </w:trPr>
      <w:tc>
        <w:tcPr>
          <w:tcW w:w="2429" w:type="dxa"/>
          <w:gridSpan w:val="2"/>
          <w:vAlign w:val="center"/>
        </w:tcPr>
        <w:p w:rsidR="00CE6147" w:rsidRPr="001827EE" w:rsidRDefault="00CE6147" w:rsidP="00786A47">
          <w:pPr>
            <w:pStyle w:val="Encabezado"/>
            <w:jc w:val="center"/>
            <w:rPr>
              <w:color w:val="000080"/>
              <w:lang w:val="es-ES_tradnl"/>
            </w:rPr>
          </w:pPr>
          <w:r w:rsidRPr="00E61AAC">
            <w:rPr>
              <w:rFonts w:ascii="Arial" w:hAnsi="Arial" w:cs="Arial"/>
              <w:color w:val="000080"/>
              <w:sz w:val="20"/>
              <w:szCs w:val="20"/>
              <w:lang w:val="es-ES_tradnl"/>
            </w:rPr>
            <w:t>Código: PM-IV-6.1-</w:t>
          </w:r>
          <w:r>
            <w:rPr>
              <w:rFonts w:ascii="Arial" w:hAnsi="Arial" w:cs="Arial"/>
              <w:color w:val="000080"/>
              <w:sz w:val="20"/>
              <w:szCs w:val="20"/>
              <w:lang w:val="es-ES_tradnl"/>
            </w:rPr>
            <w:t>OD-2</w:t>
          </w:r>
        </w:p>
      </w:tc>
      <w:tc>
        <w:tcPr>
          <w:tcW w:w="1276" w:type="dxa"/>
          <w:vAlign w:val="center"/>
        </w:tcPr>
        <w:p w:rsidR="00CE6147" w:rsidRPr="00AF44AE" w:rsidRDefault="00CE6147" w:rsidP="008C5286">
          <w:pPr>
            <w:pStyle w:val="Encabezado"/>
            <w:jc w:val="center"/>
            <w:rPr>
              <w:rFonts w:ascii="Arial" w:hAnsi="Arial" w:cs="Arial"/>
              <w:color w:val="000080"/>
              <w:sz w:val="20"/>
              <w:szCs w:val="20"/>
              <w:lang w:val="es-ES_tradnl"/>
            </w:rPr>
          </w:pPr>
          <w:r w:rsidRPr="00AF44AE">
            <w:rPr>
              <w:rFonts w:ascii="Arial" w:hAnsi="Arial" w:cs="Arial"/>
              <w:color w:val="000080"/>
              <w:sz w:val="20"/>
              <w:szCs w:val="20"/>
              <w:lang w:val="es-ES_tradnl"/>
            </w:rPr>
            <w:t>Versión</w:t>
          </w:r>
          <w:r>
            <w:rPr>
              <w:rFonts w:ascii="Arial" w:hAnsi="Arial" w:cs="Arial"/>
              <w:color w:val="000080"/>
              <w:sz w:val="20"/>
              <w:szCs w:val="20"/>
              <w:lang w:val="es-ES_tradnl"/>
            </w:rPr>
            <w:t>: 1</w:t>
          </w:r>
        </w:p>
      </w:tc>
      <w:tc>
        <w:tcPr>
          <w:tcW w:w="3544" w:type="dxa"/>
          <w:vAlign w:val="center"/>
        </w:tcPr>
        <w:p w:rsidR="00CE6147" w:rsidRPr="00AF44AE" w:rsidRDefault="00CE6147" w:rsidP="006021D9">
          <w:pPr>
            <w:pStyle w:val="Encabezado"/>
            <w:jc w:val="center"/>
            <w:rPr>
              <w:rFonts w:ascii="Arial" w:hAnsi="Arial" w:cs="Arial"/>
              <w:color w:val="000080"/>
              <w:sz w:val="20"/>
              <w:szCs w:val="20"/>
              <w:lang w:val="es-ES_tradnl"/>
            </w:rPr>
          </w:pPr>
          <w:r>
            <w:rPr>
              <w:rFonts w:ascii="Arial" w:hAnsi="Arial" w:cs="Arial"/>
              <w:color w:val="000080"/>
              <w:sz w:val="20"/>
              <w:szCs w:val="20"/>
              <w:lang w:val="es-ES_tradnl"/>
            </w:rPr>
            <w:t>Fecha de actualización: 04-09-2015</w:t>
          </w:r>
        </w:p>
      </w:tc>
      <w:tc>
        <w:tcPr>
          <w:tcW w:w="1701" w:type="dxa"/>
        </w:tcPr>
        <w:p w:rsidR="00CE6147" w:rsidRPr="00AF44AE" w:rsidRDefault="00CE6147" w:rsidP="008C5286">
          <w:pPr>
            <w:pStyle w:val="Encabezado"/>
            <w:jc w:val="center"/>
            <w:rPr>
              <w:rFonts w:ascii="Arial" w:hAnsi="Arial" w:cs="Arial"/>
              <w:color w:val="000080"/>
              <w:sz w:val="20"/>
              <w:szCs w:val="20"/>
              <w:lang w:val="es-ES_tradnl"/>
            </w:rPr>
          </w:pPr>
          <w:r w:rsidRPr="00AF44AE">
            <w:rPr>
              <w:rFonts w:ascii="Arial" w:hAnsi="Arial" w:cs="Arial"/>
              <w:color w:val="000080"/>
              <w:sz w:val="20"/>
              <w:szCs w:val="20"/>
              <w:lang w:val="es-ES_tradnl"/>
            </w:rPr>
            <w:t>Página</w:t>
          </w:r>
          <w:r w:rsidRPr="00AF44AE">
            <w:rPr>
              <w:rFonts w:ascii="Arial" w:hAnsi="Arial" w:cs="Arial"/>
              <w:color w:val="000080"/>
              <w:sz w:val="20"/>
              <w:szCs w:val="20"/>
              <w:lang w:val="es-ES_tradnl"/>
            </w:rPr>
            <w:fldChar w:fldCharType="begin"/>
          </w:r>
          <w:r w:rsidRPr="00AF44AE">
            <w:rPr>
              <w:rFonts w:ascii="Arial" w:hAnsi="Arial" w:cs="Arial"/>
              <w:color w:val="000080"/>
              <w:sz w:val="20"/>
              <w:szCs w:val="20"/>
              <w:lang w:val="es-ES_tradnl"/>
            </w:rPr>
            <w:instrText xml:space="preserve"> PAGE </w:instrText>
          </w:r>
          <w:r w:rsidRPr="00AF44AE">
            <w:rPr>
              <w:rFonts w:ascii="Arial" w:hAnsi="Arial" w:cs="Arial"/>
              <w:color w:val="000080"/>
              <w:sz w:val="20"/>
              <w:szCs w:val="20"/>
              <w:lang w:val="es-ES_tradnl"/>
            </w:rPr>
            <w:fldChar w:fldCharType="separate"/>
          </w:r>
          <w:r w:rsidR="00526250">
            <w:rPr>
              <w:rFonts w:ascii="Arial" w:hAnsi="Arial" w:cs="Arial"/>
              <w:noProof/>
              <w:color w:val="000080"/>
              <w:sz w:val="20"/>
              <w:szCs w:val="20"/>
              <w:lang w:val="es-ES_tradnl"/>
            </w:rPr>
            <w:t>23</w:t>
          </w:r>
          <w:r w:rsidRPr="00AF44AE">
            <w:rPr>
              <w:rFonts w:ascii="Arial" w:hAnsi="Arial" w:cs="Arial"/>
              <w:color w:val="000080"/>
              <w:sz w:val="20"/>
              <w:szCs w:val="20"/>
              <w:lang w:val="es-ES_tradnl"/>
            </w:rPr>
            <w:fldChar w:fldCharType="end"/>
          </w:r>
          <w:r w:rsidRPr="00AF44AE">
            <w:rPr>
              <w:rFonts w:ascii="Arial" w:hAnsi="Arial" w:cs="Arial"/>
              <w:color w:val="000080"/>
              <w:sz w:val="20"/>
              <w:szCs w:val="20"/>
              <w:lang w:val="es-ES_tradnl"/>
            </w:rPr>
            <w:t xml:space="preserve"> de </w:t>
          </w:r>
          <w:r w:rsidRPr="00AF44AE">
            <w:rPr>
              <w:rFonts w:ascii="Arial" w:hAnsi="Arial" w:cs="Arial"/>
              <w:color w:val="000080"/>
              <w:sz w:val="20"/>
              <w:szCs w:val="20"/>
              <w:lang w:val="es-ES_tradnl"/>
            </w:rPr>
            <w:fldChar w:fldCharType="begin"/>
          </w:r>
          <w:r w:rsidRPr="00AF44AE">
            <w:rPr>
              <w:rFonts w:ascii="Arial" w:hAnsi="Arial" w:cs="Arial"/>
              <w:color w:val="000080"/>
              <w:sz w:val="20"/>
              <w:szCs w:val="20"/>
              <w:lang w:val="es-ES_tradnl"/>
            </w:rPr>
            <w:instrText xml:space="preserve"> NUMPAGES </w:instrText>
          </w:r>
          <w:r w:rsidRPr="00AF44AE">
            <w:rPr>
              <w:rFonts w:ascii="Arial" w:hAnsi="Arial" w:cs="Arial"/>
              <w:color w:val="000080"/>
              <w:sz w:val="20"/>
              <w:szCs w:val="20"/>
              <w:lang w:val="es-ES_tradnl"/>
            </w:rPr>
            <w:fldChar w:fldCharType="separate"/>
          </w:r>
          <w:r w:rsidR="00526250">
            <w:rPr>
              <w:rFonts w:ascii="Arial" w:hAnsi="Arial" w:cs="Arial"/>
              <w:noProof/>
              <w:color w:val="000080"/>
              <w:sz w:val="20"/>
              <w:szCs w:val="20"/>
              <w:lang w:val="es-ES_tradnl"/>
            </w:rPr>
            <w:t>23</w:t>
          </w:r>
          <w:r w:rsidRPr="00AF44AE">
            <w:rPr>
              <w:rFonts w:ascii="Arial" w:hAnsi="Arial" w:cs="Arial"/>
              <w:color w:val="000080"/>
              <w:sz w:val="20"/>
              <w:szCs w:val="20"/>
              <w:lang w:val="es-ES_tradnl"/>
            </w:rPr>
            <w:fldChar w:fldCharType="end"/>
          </w:r>
        </w:p>
      </w:tc>
    </w:tr>
  </w:tbl>
  <w:p w:rsidR="00CE6147" w:rsidRPr="00122827" w:rsidRDefault="00CE6147" w:rsidP="00122827">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4800590" o:spid="_x0000_s2058" type="#_x0000_t136" style="position:absolute;margin-left:0;margin-top:0;width:654.75pt;height:60.75pt;rotation:315;z-index:-251656192;mso-position-horizontal:center;mso-position-horizontal-relative:margin;mso-position-vertical:center;mso-position-vertical-relative:margin" o:allowincell="f" fillcolor="#bfbfbf [2412]" stroked="f">
          <v:fill opacity=".5"/>
          <v:textpath style="font-family:&quot;Arial&quot;;font-size:54pt" string="COPIA NO CONTROLADA"/>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8" w:type="dxa"/>
      <w:tblInd w:w="-34"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ayout w:type="fixed"/>
      <w:tblLook w:val="01E0" w:firstRow="1" w:lastRow="1" w:firstColumn="1" w:lastColumn="1" w:noHBand="0" w:noVBand="0"/>
    </w:tblPr>
    <w:tblGrid>
      <w:gridCol w:w="1567"/>
      <w:gridCol w:w="1518"/>
      <w:gridCol w:w="1674"/>
      <w:gridCol w:w="3321"/>
      <w:gridCol w:w="1418"/>
    </w:tblGrid>
    <w:tr w:rsidR="00CE6147" w:rsidRPr="00F47BB1" w:rsidTr="00C33932">
      <w:trPr>
        <w:trHeight w:val="1401"/>
      </w:trPr>
      <w:tc>
        <w:tcPr>
          <w:tcW w:w="1567" w:type="dxa"/>
          <w:vAlign w:val="center"/>
        </w:tcPr>
        <w:p w:rsidR="00CE6147" w:rsidRPr="001827EE" w:rsidRDefault="00CE6147" w:rsidP="00B800F4">
          <w:pPr>
            <w:pStyle w:val="Encabezado"/>
            <w:jc w:val="center"/>
            <w:rPr>
              <w:rFonts w:ascii="Arial" w:hAnsi="Arial" w:cs="Arial"/>
              <w:color w:val="000080"/>
              <w:sz w:val="28"/>
              <w:szCs w:val="28"/>
              <w:lang w:val="es-ES_tradnl"/>
            </w:rPr>
          </w:pPr>
          <w:r>
            <w:rPr>
              <w:rFonts w:ascii="Arial" w:hAnsi="Arial" w:cs="Arial"/>
              <w:noProof/>
              <w:color w:val="000080"/>
              <w:sz w:val="28"/>
              <w:szCs w:val="28"/>
              <w:lang w:val="en-US"/>
            </w:rPr>
            <w:drawing>
              <wp:inline distT="0" distB="0" distL="0" distR="0" wp14:anchorId="549327B1" wp14:editId="2C66A571">
                <wp:extent cx="744279" cy="701180"/>
                <wp:effectExtent l="0" t="0" r="0" b="3810"/>
                <wp:docPr id="15" name="Imagen 1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scu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197" cy="699219"/>
                        </a:xfrm>
                        <a:prstGeom prst="rect">
                          <a:avLst/>
                        </a:prstGeom>
                        <a:noFill/>
                        <a:ln>
                          <a:noFill/>
                        </a:ln>
                      </pic:spPr>
                    </pic:pic>
                  </a:graphicData>
                </a:graphic>
              </wp:inline>
            </w:drawing>
          </w:r>
        </w:p>
      </w:tc>
      <w:tc>
        <w:tcPr>
          <w:tcW w:w="7931" w:type="dxa"/>
          <w:gridSpan w:val="4"/>
        </w:tcPr>
        <w:p w:rsidR="00CE6147" w:rsidRDefault="00CE6147" w:rsidP="00B800F4">
          <w:pPr>
            <w:pStyle w:val="Encabezado"/>
            <w:jc w:val="center"/>
            <w:rPr>
              <w:rFonts w:ascii="Arial" w:hAnsi="Arial" w:cs="Arial"/>
              <w:b/>
              <w:color w:val="000080"/>
              <w:sz w:val="28"/>
              <w:szCs w:val="28"/>
              <w:lang w:val="es-ES_tradnl"/>
            </w:rPr>
          </w:pPr>
        </w:p>
        <w:p w:rsidR="00CE6147" w:rsidRDefault="00CE6147" w:rsidP="00B800F4">
          <w:pPr>
            <w:jc w:val="center"/>
            <w:rPr>
              <w:rFonts w:ascii="Arial" w:hAnsi="Arial" w:cs="Arial"/>
              <w:b/>
              <w:color w:val="000080"/>
              <w:lang w:val="es-ES_tradnl"/>
            </w:rPr>
          </w:pPr>
        </w:p>
        <w:p w:rsidR="00CE6147" w:rsidRPr="00D02685" w:rsidRDefault="00CE6147" w:rsidP="00B800F4">
          <w:pPr>
            <w:jc w:val="center"/>
            <w:rPr>
              <w:rFonts w:ascii="Arial" w:hAnsi="Arial" w:cs="Arial"/>
              <w:color w:val="000080"/>
              <w:u w:val="single"/>
              <w:lang w:val="es-ES_tradnl"/>
            </w:rPr>
          </w:pPr>
          <w:r>
            <w:rPr>
              <w:rFonts w:ascii="Arial" w:hAnsi="Arial" w:cs="Arial"/>
              <w:b/>
              <w:color w:val="000080"/>
              <w:lang w:val="es-ES_tradnl"/>
            </w:rPr>
            <w:t>Nombre del Documento a desarrollar</w:t>
          </w:r>
        </w:p>
        <w:p w:rsidR="00CE6147" w:rsidRDefault="00CE6147" w:rsidP="00B800F4">
          <w:pPr>
            <w:pStyle w:val="Encabezado"/>
            <w:jc w:val="center"/>
            <w:rPr>
              <w:rFonts w:ascii="Arial" w:hAnsi="Arial" w:cs="Arial"/>
              <w:b/>
              <w:color w:val="000080"/>
              <w:sz w:val="28"/>
              <w:szCs w:val="28"/>
              <w:lang w:val="es-ES_tradnl"/>
            </w:rPr>
          </w:pPr>
        </w:p>
      </w:tc>
    </w:tr>
    <w:tr w:rsidR="00CE6147" w:rsidRPr="001827EE" w:rsidTr="003A5482">
      <w:trPr>
        <w:trHeight w:val="27"/>
      </w:trPr>
      <w:tc>
        <w:tcPr>
          <w:tcW w:w="3085" w:type="dxa"/>
          <w:gridSpan w:val="2"/>
          <w:vAlign w:val="center"/>
        </w:tcPr>
        <w:p w:rsidR="00CE6147" w:rsidRPr="001827EE" w:rsidRDefault="00CE6147" w:rsidP="006415B6">
          <w:pPr>
            <w:pStyle w:val="Encabezado"/>
            <w:rPr>
              <w:color w:val="000080"/>
              <w:lang w:val="es-ES_tradnl"/>
            </w:rPr>
          </w:pPr>
          <w:r w:rsidRPr="00AF44AE">
            <w:rPr>
              <w:rFonts w:ascii="Arial" w:hAnsi="Arial" w:cs="Arial"/>
              <w:color w:val="333399"/>
              <w:sz w:val="20"/>
              <w:szCs w:val="20"/>
              <w:lang w:val="es-ES"/>
            </w:rPr>
            <w:t>Código</w:t>
          </w:r>
          <w:r>
            <w:rPr>
              <w:rFonts w:ascii="Arial" w:hAnsi="Arial" w:cs="Arial"/>
              <w:color w:val="333399"/>
              <w:sz w:val="20"/>
              <w:szCs w:val="20"/>
              <w:lang w:val="es-ES"/>
            </w:rPr>
            <w:t xml:space="preserve">: </w:t>
          </w:r>
        </w:p>
      </w:tc>
      <w:tc>
        <w:tcPr>
          <w:tcW w:w="1674" w:type="dxa"/>
          <w:vAlign w:val="center"/>
        </w:tcPr>
        <w:p w:rsidR="00CE6147" w:rsidRPr="00AF44AE" w:rsidRDefault="00CE6147" w:rsidP="006415B6">
          <w:pPr>
            <w:pStyle w:val="Encabezado"/>
            <w:rPr>
              <w:rFonts w:ascii="Arial" w:hAnsi="Arial" w:cs="Arial"/>
              <w:color w:val="000080"/>
              <w:sz w:val="20"/>
              <w:szCs w:val="20"/>
              <w:lang w:val="es-ES_tradnl"/>
            </w:rPr>
          </w:pPr>
          <w:r w:rsidRPr="00AF44AE">
            <w:rPr>
              <w:rFonts w:ascii="Arial" w:hAnsi="Arial" w:cs="Arial"/>
              <w:color w:val="000080"/>
              <w:sz w:val="20"/>
              <w:szCs w:val="20"/>
              <w:lang w:val="es-ES_tradnl"/>
            </w:rPr>
            <w:t>Versión</w:t>
          </w:r>
          <w:r>
            <w:rPr>
              <w:rFonts w:ascii="Arial" w:hAnsi="Arial" w:cs="Arial"/>
              <w:color w:val="000080"/>
              <w:sz w:val="20"/>
              <w:szCs w:val="20"/>
              <w:lang w:val="es-ES_tradnl"/>
            </w:rPr>
            <w:t>:</w:t>
          </w:r>
        </w:p>
      </w:tc>
      <w:tc>
        <w:tcPr>
          <w:tcW w:w="3321" w:type="dxa"/>
          <w:vAlign w:val="center"/>
        </w:tcPr>
        <w:p w:rsidR="00CE6147" w:rsidRPr="00AF44AE" w:rsidRDefault="00CE6147" w:rsidP="006415B6">
          <w:pPr>
            <w:pStyle w:val="Encabezado"/>
            <w:rPr>
              <w:rFonts w:ascii="Arial" w:hAnsi="Arial" w:cs="Arial"/>
              <w:color w:val="000080"/>
              <w:sz w:val="20"/>
              <w:szCs w:val="20"/>
              <w:lang w:val="es-ES_tradnl"/>
            </w:rPr>
          </w:pPr>
          <w:r w:rsidRPr="00AF44AE">
            <w:rPr>
              <w:rFonts w:ascii="Arial" w:hAnsi="Arial" w:cs="Arial"/>
              <w:color w:val="000080"/>
              <w:sz w:val="20"/>
              <w:szCs w:val="20"/>
              <w:lang w:val="es-ES_tradnl"/>
            </w:rPr>
            <w:t>Fecha Vigencia</w:t>
          </w:r>
          <w:r>
            <w:rPr>
              <w:rFonts w:ascii="Arial" w:hAnsi="Arial" w:cs="Arial"/>
              <w:color w:val="000080"/>
              <w:sz w:val="20"/>
              <w:szCs w:val="20"/>
              <w:lang w:val="es-ES_tradnl"/>
            </w:rPr>
            <w:t>:</w:t>
          </w:r>
        </w:p>
      </w:tc>
      <w:tc>
        <w:tcPr>
          <w:tcW w:w="1418" w:type="dxa"/>
        </w:tcPr>
        <w:p w:rsidR="00CE6147" w:rsidRDefault="00CE6147" w:rsidP="00B15843">
          <w:pPr>
            <w:pStyle w:val="Encabezado"/>
            <w:jc w:val="center"/>
            <w:rPr>
              <w:rFonts w:ascii="Arial" w:hAnsi="Arial" w:cs="Arial"/>
              <w:color w:val="000080"/>
              <w:sz w:val="20"/>
              <w:szCs w:val="20"/>
              <w:lang w:val="es-ES_tradnl"/>
            </w:rPr>
          </w:pPr>
          <w:r w:rsidRPr="00AF44AE">
            <w:rPr>
              <w:rFonts w:ascii="Arial" w:hAnsi="Arial" w:cs="Arial"/>
              <w:color w:val="000080"/>
              <w:sz w:val="20"/>
              <w:szCs w:val="20"/>
              <w:lang w:val="es-ES_tradnl"/>
            </w:rPr>
            <w:t>Página</w:t>
          </w:r>
        </w:p>
        <w:p w:rsidR="00CE6147" w:rsidRPr="00AF44AE" w:rsidRDefault="00CE6147" w:rsidP="00B15843">
          <w:pPr>
            <w:pStyle w:val="Encabezado"/>
            <w:jc w:val="center"/>
            <w:rPr>
              <w:rFonts w:ascii="Arial" w:hAnsi="Arial" w:cs="Arial"/>
              <w:color w:val="000080"/>
              <w:sz w:val="20"/>
              <w:szCs w:val="20"/>
              <w:lang w:val="es-ES_tradnl"/>
            </w:rPr>
          </w:pPr>
          <w:r w:rsidRPr="00AF44AE">
            <w:rPr>
              <w:rFonts w:ascii="Arial" w:hAnsi="Arial" w:cs="Arial"/>
              <w:color w:val="000080"/>
              <w:sz w:val="20"/>
              <w:szCs w:val="20"/>
              <w:lang w:val="es-ES_tradnl"/>
            </w:rPr>
            <w:fldChar w:fldCharType="begin"/>
          </w:r>
          <w:r w:rsidRPr="00AF44AE">
            <w:rPr>
              <w:rFonts w:ascii="Arial" w:hAnsi="Arial" w:cs="Arial"/>
              <w:color w:val="000080"/>
              <w:sz w:val="20"/>
              <w:szCs w:val="20"/>
              <w:lang w:val="es-ES_tradnl"/>
            </w:rPr>
            <w:instrText xml:space="preserve"> PAGE </w:instrText>
          </w:r>
          <w:r w:rsidRPr="00AF44AE">
            <w:rPr>
              <w:rFonts w:ascii="Arial" w:hAnsi="Arial" w:cs="Arial"/>
              <w:color w:val="000080"/>
              <w:sz w:val="20"/>
              <w:szCs w:val="20"/>
              <w:lang w:val="es-ES_tradnl"/>
            </w:rPr>
            <w:fldChar w:fldCharType="separate"/>
          </w:r>
          <w:r>
            <w:rPr>
              <w:rFonts w:ascii="Arial" w:hAnsi="Arial" w:cs="Arial"/>
              <w:noProof/>
              <w:color w:val="000080"/>
              <w:sz w:val="20"/>
              <w:szCs w:val="20"/>
              <w:lang w:val="es-ES_tradnl"/>
            </w:rPr>
            <w:t>1</w:t>
          </w:r>
          <w:r w:rsidRPr="00AF44AE">
            <w:rPr>
              <w:rFonts w:ascii="Arial" w:hAnsi="Arial" w:cs="Arial"/>
              <w:color w:val="000080"/>
              <w:sz w:val="20"/>
              <w:szCs w:val="20"/>
              <w:lang w:val="es-ES_tradnl"/>
            </w:rPr>
            <w:fldChar w:fldCharType="end"/>
          </w:r>
          <w:r w:rsidRPr="00AF44AE">
            <w:rPr>
              <w:rFonts w:ascii="Arial" w:hAnsi="Arial" w:cs="Arial"/>
              <w:color w:val="000080"/>
              <w:sz w:val="20"/>
              <w:szCs w:val="20"/>
              <w:lang w:val="es-ES_tradnl"/>
            </w:rPr>
            <w:t xml:space="preserve"> de </w:t>
          </w:r>
          <w:r w:rsidRPr="00AF44AE">
            <w:rPr>
              <w:rFonts w:ascii="Arial" w:hAnsi="Arial" w:cs="Arial"/>
              <w:color w:val="000080"/>
              <w:sz w:val="20"/>
              <w:szCs w:val="20"/>
              <w:lang w:val="es-ES_tradnl"/>
            </w:rPr>
            <w:fldChar w:fldCharType="begin"/>
          </w:r>
          <w:r w:rsidRPr="00AF44AE">
            <w:rPr>
              <w:rFonts w:ascii="Arial" w:hAnsi="Arial" w:cs="Arial"/>
              <w:color w:val="000080"/>
              <w:sz w:val="20"/>
              <w:szCs w:val="20"/>
              <w:lang w:val="es-ES_tradnl"/>
            </w:rPr>
            <w:instrText xml:space="preserve"> NUMPAGES </w:instrText>
          </w:r>
          <w:r w:rsidRPr="00AF44AE">
            <w:rPr>
              <w:rFonts w:ascii="Arial" w:hAnsi="Arial" w:cs="Arial"/>
              <w:color w:val="000080"/>
              <w:sz w:val="20"/>
              <w:szCs w:val="20"/>
              <w:lang w:val="es-ES_tradnl"/>
            </w:rPr>
            <w:fldChar w:fldCharType="separate"/>
          </w:r>
          <w:r w:rsidR="00D81E72">
            <w:rPr>
              <w:rFonts w:ascii="Arial" w:hAnsi="Arial" w:cs="Arial"/>
              <w:noProof/>
              <w:color w:val="000080"/>
              <w:sz w:val="20"/>
              <w:szCs w:val="20"/>
              <w:lang w:val="es-ES_tradnl"/>
            </w:rPr>
            <w:t>23</w:t>
          </w:r>
          <w:r w:rsidRPr="00AF44AE">
            <w:rPr>
              <w:rFonts w:ascii="Arial" w:hAnsi="Arial" w:cs="Arial"/>
              <w:color w:val="000080"/>
              <w:sz w:val="20"/>
              <w:szCs w:val="20"/>
              <w:lang w:val="es-ES_tradnl"/>
            </w:rPr>
            <w:fldChar w:fldCharType="end"/>
          </w:r>
        </w:p>
      </w:tc>
    </w:tr>
  </w:tbl>
  <w:p w:rsidR="00CE6147" w:rsidRPr="006D7BA9" w:rsidRDefault="00CE6147" w:rsidP="006D7BA9">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4800588" o:spid="_x0000_s2057" type="#_x0000_t136" style="position:absolute;margin-left:0;margin-top:0;width:654.75pt;height:60.75pt;rotation:315;z-index:-251657216;mso-position-horizontal:center;mso-position-horizontal-relative:margin;mso-position-vertical:center;mso-position-vertical-relative:margin" o:allowincell="f" fillcolor="#bfbfbf [2412]" stroked="f">
          <v:fill opacity=".5"/>
          <v:textpath style="font-family:&quot;Arial&quot;;font-size:54pt" string="COPIA NO CONTROLADA"/>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982_"/>
      </v:shape>
    </w:pict>
  </w:numPicBullet>
  <w:abstractNum w:abstractNumId="0" w15:restartNumberingAfterBreak="0">
    <w:nsid w:val="06603854"/>
    <w:multiLevelType w:val="hybridMultilevel"/>
    <w:tmpl w:val="69042618"/>
    <w:lvl w:ilvl="0" w:tplc="0C0A000B">
      <w:start w:val="1"/>
      <w:numFmt w:val="bullet"/>
      <w:lvlText w:val=""/>
      <w:lvlJc w:val="left"/>
      <w:pPr>
        <w:tabs>
          <w:tab w:val="num" w:pos="1440"/>
        </w:tabs>
        <w:ind w:left="1440" w:hanging="360"/>
      </w:pPr>
      <w:rPr>
        <w:rFonts w:ascii="Wingdings" w:hAnsi="Wingdings" w:hint="default"/>
      </w:rPr>
    </w:lvl>
    <w:lvl w:ilvl="1" w:tplc="0C0A0003" w:tentative="1">
      <w:start w:val="1"/>
      <w:numFmt w:val="bullet"/>
      <w:lvlText w:val="o"/>
      <w:lvlJc w:val="left"/>
      <w:pPr>
        <w:tabs>
          <w:tab w:val="num" w:pos="2160"/>
        </w:tabs>
        <w:ind w:left="2160" w:hanging="360"/>
      </w:pPr>
      <w:rPr>
        <w:rFonts w:ascii="Courier New" w:hAnsi="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7EB6700"/>
    <w:multiLevelType w:val="hybridMultilevel"/>
    <w:tmpl w:val="736EDAB4"/>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F71434"/>
    <w:multiLevelType w:val="hybridMultilevel"/>
    <w:tmpl w:val="A0B261E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D940D63"/>
    <w:multiLevelType w:val="hybridMultilevel"/>
    <w:tmpl w:val="6886438C"/>
    <w:lvl w:ilvl="0" w:tplc="D2E068EA">
      <w:start w:val="1"/>
      <w:numFmt w:val="bullet"/>
      <w:lvlText w:val=""/>
      <w:lvlJc w:val="left"/>
      <w:pPr>
        <w:ind w:left="360" w:hanging="360"/>
      </w:pPr>
      <w:rPr>
        <w:rFonts w:ascii="Symbol" w:hAnsi="Symbol" w:hint="default"/>
        <w:strike w:val="0"/>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0FA55F48"/>
    <w:multiLevelType w:val="hybridMultilevel"/>
    <w:tmpl w:val="0EA645A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47D34D7"/>
    <w:multiLevelType w:val="hybridMultilevel"/>
    <w:tmpl w:val="B212D154"/>
    <w:lvl w:ilvl="0" w:tplc="C8FC0C96">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5D2CFD"/>
    <w:multiLevelType w:val="hybridMultilevel"/>
    <w:tmpl w:val="BFC6BA52"/>
    <w:lvl w:ilvl="0" w:tplc="0C0A000F">
      <w:start w:val="7"/>
      <w:numFmt w:val="decimal"/>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BA6618C"/>
    <w:multiLevelType w:val="hybridMultilevel"/>
    <w:tmpl w:val="736EDAB4"/>
    <w:lvl w:ilvl="0" w:tplc="C8FC0C96">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692631"/>
    <w:multiLevelType w:val="hybridMultilevel"/>
    <w:tmpl w:val="9C946B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58B6DA7"/>
    <w:multiLevelType w:val="hybridMultilevel"/>
    <w:tmpl w:val="B7420B7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EC7386"/>
    <w:multiLevelType w:val="hybridMultilevel"/>
    <w:tmpl w:val="B734CA4A"/>
    <w:lvl w:ilvl="0" w:tplc="FDFC6060">
      <w:start w:val="4"/>
      <w:numFmt w:val="decimal"/>
      <w:lvlText w:val="%1."/>
      <w:lvlJc w:val="left"/>
      <w:pPr>
        <w:tabs>
          <w:tab w:val="num" w:pos="180"/>
        </w:tabs>
        <w:ind w:left="180" w:hanging="360"/>
      </w:pPr>
      <w:rPr>
        <w:rFonts w:hint="default"/>
        <w:b/>
        <w:sz w:val="24"/>
      </w:rPr>
    </w:lvl>
    <w:lvl w:ilvl="1" w:tplc="0C0A0019" w:tentative="1">
      <w:start w:val="1"/>
      <w:numFmt w:val="lowerLetter"/>
      <w:lvlText w:val="%2."/>
      <w:lvlJc w:val="left"/>
      <w:pPr>
        <w:tabs>
          <w:tab w:val="num" w:pos="900"/>
        </w:tabs>
        <w:ind w:left="900" w:hanging="360"/>
      </w:pPr>
    </w:lvl>
    <w:lvl w:ilvl="2" w:tplc="0C0A001B" w:tentative="1">
      <w:start w:val="1"/>
      <w:numFmt w:val="lowerRoman"/>
      <w:lvlText w:val="%3."/>
      <w:lvlJc w:val="right"/>
      <w:pPr>
        <w:tabs>
          <w:tab w:val="num" w:pos="1620"/>
        </w:tabs>
        <w:ind w:left="1620" w:hanging="180"/>
      </w:pPr>
    </w:lvl>
    <w:lvl w:ilvl="3" w:tplc="0C0A000F" w:tentative="1">
      <w:start w:val="1"/>
      <w:numFmt w:val="decimal"/>
      <w:lvlText w:val="%4."/>
      <w:lvlJc w:val="left"/>
      <w:pPr>
        <w:tabs>
          <w:tab w:val="num" w:pos="2340"/>
        </w:tabs>
        <w:ind w:left="2340" w:hanging="360"/>
      </w:pPr>
    </w:lvl>
    <w:lvl w:ilvl="4" w:tplc="0C0A0019" w:tentative="1">
      <w:start w:val="1"/>
      <w:numFmt w:val="lowerLetter"/>
      <w:lvlText w:val="%5."/>
      <w:lvlJc w:val="left"/>
      <w:pPr>
        <w:tabs>
          <w:tab w:val="num" w:pos="3060"/>
        </w:tabs>
        <w:ind w:left="3060" w:hanging="360"/>
      </w:pPr>
    </w:lvl>
    <w:lvl w:ilvl="5" w:tplc="0C0A001B" w:tentative="1">
      <w:start w:val="1"/>
      <w:numFmt w:val="lowerRoman"/>
      <w:lvlText w:val="%6."/>
      <w:lvlJc w:val="right"/>
      <w:pPr>
        <w:tabs>
          <w:tab w:val="num" w:pos="3780"/>
        </w:tabs>
        <w:ind w:left="3780" w:hanging="180"/>
      </w:pPr>
    </w:lvl>
    <w:lvl w:ilvl="6" w:tplc="0C0A000F" w:tentative="1">
      <w:start w:val="1"/>
      <w:numFmt w:val="decimal"/>
      <w:lvlText w:val="%7."/>
      <w:lvlJc w:val="left"/>
      <w:pPr>
        <w:tabs>
          <w:tab w:val="num" w:pos="4500"/>
        </w:tabs>
        <w:ind w:left="4500" w:hanging="360"/>
      </w:pPr>
    </w:lvl>
    <w:lvl w:ilvl="7" w:tplc="0C0A0019" w:tentative="1">
      <w:start w:val="1"/>
      <w:numFmt w:val="lowerLetter"/>
      <w:lvlText w:val="%8."/>
      <w:lvlJc w:val="left"/>
      <w:pPr>
        <w:tabs>
          <w:tab w:val="num" w:pos="5220"/>
        </w:tabs>
        <w:ind w:left="5220" w:hanging="360"/>
      </w:pPr>
    </w:lvl>
    <w:lvl w:ilvl="8" w:tplc="0C0A001B" w:tentative="1">
      <w:start w:val="1"/>
      <w:numFmt w:val="lowerRoman"/>
      <w:lvlText w:val="%9."/>
      <w:lvlJc w:val="right"/>
      <w:pPr>
        <w:tabs>
          <w:tab w:val="num" w:pos="5940"/>
        </w:tabs>
        <w:ind w:left="5940" w:hanging="180"/>
      </w:pPr>
    </w:lvl>
  </w:abstractNum>
  <w:abstractNum w:abstractNumId="11" w15:restartNumberingAfterBreak="0">
    <w:nsid w:val="290D1615"/>
    <w:multiLevelType w:val="hybridMultilevel"/>
    <w:tmpl w:val="D4FA2D36"/>
    <w:lvl w:ilvl="0" w:tplc="70F00FBA">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510849"/>
    <w:multiLevelType w:val="hybridMultilevel"/>
    <w:tmpl w:val="0C660B4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3A2903A5"/>
    <w:multiLevelType w:val="hybridMultilevel"/>
    <w:tmpl w:val="EA4E774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276FC7"/>
    <w:multiLevelType w:val="hybridMultilevel"/>
    <w:tmpl w:val="E93065DA"/>
    <w:lvl w:ilvl="0" w:tplc="95987B2A">
      <w:start w:val="5"/>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0B0637E"/>
    <w:multiLevelType w:val="hybridMultilevel"/>
    <w:tmpl w:val="57DABEE8"/>
    <w:lvl w:ilvl="0" w:tplc="0C0A0001">
      <w:start w:val="1"/>
      <w:numFmt w:val="bullet"/>
      <w:lvlText w:val=""/>
      <w:lvlJc w:val="left"/>
      <w:pPr>
        <w:tabs>
          <w:tab w:val="num" w:pos="1068"/>
        </w:tabs>
        <w:ind w:left="1068" w:hanging="360"/>
      </w:pPr>
      <w:rPr>
        <w:rFonts w:ascii="Symbol" w:hAnsi="Symbol" w:hint="default"/>
      </w:rPr>
    </w:lvl>
    <w:lvl w:ilvl="1" w:tplc="0C0A0001">
      <w:start w:val="1"/>
      <w:numFmt w:val="bullet"/>
      <w:lvlText w:val=""/>
      <w:lvlJc w:val="left"/>
      <w:pPr>
        <w:tabs>
          <w:tab w:val="num" w:pos="1788"/>
        </w:tabs>
        <w:ind w:left="1788" w:hanging="360"/>
      </w:pPr>
      <w:rPr>
        <w:rFonts w:ascii="Symbol" w:hAnsi="Symbol" w:hint="default"/>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15:restartNumberingAfterBreak="0">
    <w:nsid w:val="411169BA"/>
    <w:multiLevelType w:val="hybridMultilevel"/>
    <w:tmpl w:val="B4AA93B0"/>
    <w:lvl w:ilvl="0" w:tplc="70F00FBA">
      <w:start w:val="1"/>
      <w:numFmt w:val="bullet"/>
      <w:lvlText w:val=""/>
      <w:lvlPicBulletId w:val="0"/>
      <w:lvlJc w:val="left"/>
      <w:pPr>
        <w:tabs>
          <w:tab w:val="num" w:pos="1080"/>
        </w:tabs>
        <w:ind w:left="1080" w:hanging="360"/>
      </w:pPr>
      <w:rPr>
        <w:rFonts w:ascii="Symbol" w:hAnsi="Symbol" w:hint="default"/>
        <w:color w:val="auto"/>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564499A"/>
    <w:multiLevelType w:val="hybridMultilevel"/>
    <w:tmpl w:val="B086A4E4"/>
    <w:lvl w:ilvl="0" w:tplc="E1842698">
      <w:start w:val="2"/>
      <w:numFmt w:val="decimal"/>
      <w:lvlText w:val="%1."/>
      <w:lvlJc w:val="left"/>
      <w:pPr>
        <w:tabs>
          <w:tab w:val="num" w:pos="360"/>
        </w:tabs>
        <w:ind w:left="360" w:hanging="360"/>
      </w:pPr>
      <w:rPr>
        <w:rFonts w:hint="default"/>
        <w:b/>
        <w:sz w:val="24"/>
      </w:rPr>
    </w:lvl>
    <w:lvl w:ilvl="1" w:tplc="0C0A000B">
      <w:start w:val="1"/>
      <w:numFmt w:val="bullet"/>
      <w:lvlText w:val=""/>
      <w:lvlJc w:val="left"/>
      <w:pPr>
        <w:tabs>
          <w:tab w:val="num" w:pos="1437"/>
        </w:tabs>
        <w:ind w:left="1437" w:hanging="360"/>
      </w:pPr>
      <w:rPr>
        <w:rFonts w:ascii="Wingdings" w:hAnsi="Wingdings" w:hint="default"/>
        <w:b/>
        <w:sz w:val="24"/>
      </w:rPr>
    </w:lvl>
    <w:lvl w:ilvl="2" w:tplc="0C0A001B" w:tentative="1">
      <w:start w:val="1"/>
      <w:numFmt w:val="lowerRoman"/>
      <w:lvlText w:val="%3."/>
      <w:lvlJc w:val="right"/>
      <w:pPr>
        <w:tabs>
          <w:tab w:val="num" w:pos="2157"/>
        </w:tabs>
        <w:ind w:left="2157" w:hanging="180"/>
      </w:pPr>
    </w:lvl>
    <w:lvl w:ilvl="3" w:tplc="0C0A000F" w:tentative="1">
      <w:start w:val="1"/>
      <w:numFmt w:val="decimal"/>
      <w:lvlText w:val="%4."/>
      <w:lvlJc w:val="left"/>
      <w:pPr>
        <w:tabs>
          <w:tab w:val="num" w:pos="2877"/>
        </w:tabs>
        <w:ind w:left="2877" w:hanging="360"/>
      </w:pPr>
    </w:lvl>
    <w:lvl w:ilvl="4" w:tplc="0C0A0019" w:tentative="1">
      <w:start w:val="1"/>
      <w:numFmt w:val="lowerLetter"/>
      <w:lvlText w:val="%5."/>
      <w:lvlJc w:val="left"/>
      <w:pPr>
        <w:tabs>
          <w:tab w:val="num" w:pos="3597"/>
        </w:tabs>
        <w:ind w:left="3597" w:hanging="360"/>
      </w:pPr>
    </w:lvl>
    <w:lvl w:ilvl="5" w:tplc="0C0A001B" w:tentative="1">
      <w:start w:val="1"/>
      <w:numFmt w:val="lowerRoman"/>
      <w:lvlText w:val="%6."/>
      <w:lvlJc w:val="right"/>
      <w:pPr>
        <w:tabs>
          <w:tab w:val="num" w:pos="4317"/>
        </w:tabs>
        <w:ind w:left="4317" w:hanging="180"/>
      </w:pPr>
    </w:lvl>
    <w:lvl w:ilvl="6" w:tplc="0C0A000F" w:tentative="1">
      <w:start w:val="1"/>
      <w:numFmt w:val="decimal"/>
      <w:lvlText w:val="%7."/>
      <w:lvlJc w:val="left"/>
      <w:pPr>
        <w:tabs>
          <w:tab w:val="num" w:pos="5037"/>
        </w:tabs>
        <w:ind w:left="5037" w:hanging="360"/>
      </w:pPr>
    </w:lvl>
    <w:lvl w:ilvl="7" w:tplc="0C0A0019" w:tentative="1">
      <w:start w:val="1"/>
      <w:numFmt w:val="lowerLetter"/>
      <w:lvlText w:val="%8."/>
      <w:lvlJc w:val="left"/>
      <w:pPr>
        <w:tabs>
          <w:tab w:val="num" w:pos="5757"/>
        </w:tabs>
        <w:ind w:left="5757" w:hanging="360"/>
      </w:pPr>
    </w:lvl>
    <w:lvl w:ilvl="8" w:tplc="0C0A001B" w:tentative="1">
      <w:start w:val="1"/>
      <w:numFmt w:val="lowerRoman"/>
      <w:lvlText w:val="%9."/>
      <w:lvlJc w:val="right"/>
      <w:pPr>
        <w:tabs>
          <w:tab w:val="num" w:pos="6477"/>
        </w:tabs>
        <w:ind w:left="6477" w:hanging="180"/>
      </w:pPr>
    </w:lvl>
  </w:abstractNum>
  <w:abstractNum w:abstractNumId="18" w15:restartNumberingAfterBreak="0">
    <w:nsid w:val="45953A80"/>
    <w:multiLevelType w:val="hybridMultilevel"/>
    <w:tmpl w:val="0212C47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641654"/>
    <w:multiLevelType w:val="hybridMultilevel"/>
    <w:tmpl w:val="E6F6310A"/>
    <w:lvl w:ilvl="0" w:tplc="0C0A0001">
      <w:start w:val="1"/>
      <w:numFmt w:val="bullet"/>
      <w:lvlText w:val=""/>
      <w:lvlJc w:val="left"/>
      <w:pPr>
        <w:tabs>
          <w:tab w:val="num" w:pos="720"/>
        </w:tabs>
        <w:ind w:left="720" w:hanging="360"/>
      </w:pPr>
      <w:rPr>
        <w:rFonts w:ascii="Symbol" w:hAnsi="Symbol" w:hint="default"/>
      </w:rPr>
    </w:lvl>
    <w:lvl w:ilvl="1" w:tplc="C8FC0C96">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76418E"/>
    <w:multiLevelType w:val="hybridMultilevel"/>
    <w:tmpl w:val="E57EAE74"/>
    <w:lvl w:ilvl="0" w:tplc="C8FC0C96">
      <w:start w:val="1"/>
      <w:numFmt w:val="bullet"/>
      <w:lvlText w:val=""/>
      <w:lvlJc w:val="left"/>
      <w:pPr>
        <w:tabs>
          <w:tab w:val="num" w:pos="717"/>
        </w:tabs>
        <w:ind w:left="717" w:hanging="360"/>
      </w:pPr>
      <w:rPr>
        <w:rFonts w:ascii="Symbol" w:hAnsi="Symbol" w:hint="default"/>
      </w:rPr>
    </w:lvl>
    <w:lvl w:ilvl="1" w:tplc="0C0A0019" w:tentative="1">
      <w:start w:val="1"/>
      <w:numFmt w:val="lowerLetter"/>
      <w:lvlText w:val="%2."/>
      <w:lvlJc w:val="left"/>
      <w:pPr>
        <w:tabs>
          <w:tab w:val="num" w:pos="1437"/>
        </w:tabs>
        <w:ind w:left="1437" w:hanging="360"/>
      </w:pPr>
    </w:lvl>
    <w:lvl w:ilvl="2" w:tplc="0C0A001B" w:tentative="1">
      <w:start w:val="1"/>
      <w:numFmt w:val="lowerRoman"/>
      <w:lvlText w:val="%3."/>
      <w:lvlJc w:val="right"/>
      <w:pPr>
        <w:tabs>
          <w:tab w:val="num" w:pos="2157"/>
        </w:tabs>
        <w:ind w:left="2157" w:hanging="180"/>
      </w:pPr>
    </w:lvl>
    <w:lvl w:ilvl="3" w:tplc="0C0A000F" w:tentative="1">
      <w:start w:val="1"/>
      <w:numFmt w:val="decimal"/>
      <w:lvlText w:val="%4."/>
      <w:lvlJc w:val="left"/>
      <w:pPr>
        <w:tabs>
          <w:tab w:val="num" w:pos="2877"/>
        </w:tabs>
        <w:ind w:left="2877" w:hanging="360"/>
      </w:pPr>
    </w:lvl>
    <w:lvl w:ilvl="4" w:tplc="0C0A0019" w:tentative="1">
      <w:start w:val="1"/>
      <w:numFmt w:val="lowerLetter"/>
      <w:lvlText w:val="%5."/>
      <w:lvlJc w:val="left"/>
      <w:pPr>
        <w:tabs>
          <w:tab w:val="num" w:pos="3597"/>
        </w:tabs>
        <w:ind w:left="3597" w:hanging="360"/>
      </w:pPr>
    </w:lvl>
    <w:lvl w:ilvl="5" w:tplc="0C0A001B" w:tentative="1">
      <w:start w:val="1"/>
      <w:numFmt w:val="lowerRoman"/>
      <w:lvlText w:val="%6."/>
      <w:lvlJc w:val="right"/>
      <w:pPr>
        <w:tabs>
          <w:tab w:val="num" w:pos="4317"/>
        </w:tabs>
        <w:ind w:left="4317" w:hanging="180"/>
      </w:pPr>
    </w:lvl>
    <w:lvl w:ilvl="6" w:tplc="0C0A000F" w:tentative="1">
      <w:start w:val="1"/>
      <w:numFmt w:val="decimal"/>
      <w:lvlText w:val="%7."/>
      <w:lvlJc w:val="left"/>
      <w:pPr>
        <w:tabs>
          <w:tab w:val="num" w:pos="5037"/>
        </w:tabs>
        <w:ind w:left="5037" w:hanging="360"/>
      </w:pPr>
    </w:lvl>
    <w:lvl w:ilvl="7" w:tplc="0C0A0019" w:tentative="1">
      <w:start w:val="1"/>
      <w:numFmt w:val="lowerLetter"/>
      <w:lvlText w:val="%8."/>
      <w:lvlJc w:val="left"/>
      <w:pPr>
        <w:tabs>
          <w:tab w:val="num" w:pos="5757"/>
        </w:tabs>
        <w:ind w:left="5757" w:hanging="360"/>
      </w:pPr>
    </w:lvl>
    <w:lvl w:ilvl="8" w:tplc="0C0A001B" w:tentative="1">
      <w:start w:val="1"/>
      <w:numFmt w:val="lowerRoman"/>
      <w:lvlText w:val="%9."/>
      <w:lvlJc w:val="right"/>
      <w:pPr>
        <w:tabs>
          <w:tab w:val="num" w:pos="6477"/>
        </w:tabs>
        <w:ind w:left="6477" w:hanging="180"/>
      </w:pPr>
    </w:lvl>
  </w:abstractNum>
  <w:abstractNum w:abstractNumId="21" w15:restartNumberingAfterBreak="0">
    <w:nsid w:val="4888421E"/>
    <w:multiLevelType w:val="hybridMultilevel"/>
    <w:tmpl w:val="22545F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A927535"/>
    <w:multiLevelType w:val="hybridMultilevel"/>
    <w:tmpl w:val="3C481DF6"/>
    <w:lvl w:ilvl="0" w:tplc="CB3E9DB8">
      <w:start w:val="1"/>
      <w:numFmt w:val="decimal"/>
      <w:lvlText w:val="%1."/>
      <w:lvlJc w:val="left"/>
      <w:pPr>
        <w:tabs>
          <w:tab w:val="num" w:pos="720"/>
        </w:tabs>
        <w:ind w:left="720" w:hanging="360"/>
      </w:pPr>
      <w:rPr>
        <w:rFonts w:hint="default"/>
      </w:rPr>
    </w:lvl>
    <w:lvl w:ilvl="1" w:tplc="2EF00A4A">
      <w:numFmt w:val="none"/>
      <w:lvlText w:val=""/>
      <w:lvlJc w:val="left"/>
      <w:pPr>
        <w:tabs>
          <w:tab w:val="num" w:pos="360"/>
        </w:tabs>
      </w:pPr>
    </w:lvl>
    <w:lvl w:ilvl="2" w:tplc="FF563EDC">
      <w:numFmt w:val="none"/>
      <w:lvlText w:val=""/>
      <w:lvlJc w:val="left"/>
      <w:pPr>
        <w:tabs>
          <w:tab w:val="num" w:pos="360"/>
        </w:tabs>
      </w:pPr>
    </w:lvl>
    <w:lvl w:ilvl="3" w:tplc="FA7C30D2">
      <w:numFmt w:val="none"/>
      <w:lvlText w:val=""/>
      <w:lvlJc w:val="left"/>
      <w:pPr>
        <w:tabs>
          <w:tab w:val="num" w:pos="360"/>
        </w:tabs>
      </w:pPr>
    </w:lvl>
    <w:lvl w:ilvl="4" w:tplc="6E1A6C34">
      <w:numFmt w:val="none"/>
      <w:lvlText w:val=""/>
      <w:lvlJc w:val="left"/>
      <w:pPr>
        <w:tabs>
          <w:tab w:val="num" w:pos="360"/>
        </w:tabs>
      </w:pPr>
    </w:lvl>
    <w:lvl w:ilvl="5" w:tplc="9C5E298E">
      <w:numFmt w:val="none"/>
      <w:lvlText w:val=""/>
      <w:lvlJc w:val="left"/>
      <w:pPr>
        <w:tabs>
          <w:tab w:val="num" w:pos="360"/>
        </w:tabs>
      </w:pPr>
    </w:lvl>
    <w:lvl w:ilvl="6" w:tplc="79ECBF34">
      <w:numFmt w:val="none"/>
      <w:lvlText w:val=""/>
      <w:lvlJc w:val="left"/>
      <w:pPr>
        <w:tabs>
          <w:tab w:val="num" w:pos="360"/>
        </w:tabs>
      </w:pPr>
    </w:lvl>
    <w:lvl w:ilvl="7" w:tplc="9FCE334C">
      <w:numFmt w:val="none"/>
      <w:lvlText w:val=""/>
      <w:lvlJc w:val="left"/>
      <w:pPr>
        <w:tabs>
          <w:tab w:val="num" w:pos="360"/>
        </w:tabs>
      </w:pPr>
    </w:lvl>
    <w:lvl w:ilvl="8" w:tplc="4DC85C48">
      <w:numFmt w:val="none"/>
      <w:lvlText w:val=""/>
      <w:lvlJc w:val="left"/>
      <w:pPr>
        <w:tabs>
          <w:tab w:val="num" w:pos="360"/>
        </w:tabs>
      </w:pPr>
    </w:lvl>
  </w:abstractNum>
  <w:abstractNum w:abstractNumId="23" w15:restartNumberingAfterBreak="0">
    <w:nsid w:val="4D8C4173"/>
    <w:multiLevelType w:val="hybridMultilevel"/>
    <w:tmpl w:val="CF2C664C"/>
    <w:lvl w:ilvl="0" w:tplc="DEA294B8">
      <w:start w:val="1"/>
      <w:numFmt w:val="decimal"/>
      <w:lvlText w:val="%1."/>
      <w:lvlJc w:val="left"/>
      <w:pPr>
        <w:ind w:left="720" w:hanging="360"/>
      </w:pPr>
      <w:rPr>
        <w:rFonts w:hint="default"/>
        <w:b/>
        <w:strike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FC75A01"/>
    <w:multiLevelType w:val="hybridMultilevel"/>
    <w:tmpl w:val="A5D43AC4"/>
    <w:lvl w:ilvl="0" w:tplc="CAAA6FA4">
      <w:start w:val="1"/>
      <w:numFmt w:val="decimal"/>
      <w:lvlText w:val="%1."/>
      <w:lvlJc w:val="left"/>
      <w:pPr>
        <w:ind w:left="720" w:hanging="36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39B2E2C"/>
    <w:multiLevelType w:val="hybridMultilevel"/>
    <w:tmpl w:val="F934DCC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5C450CB7"/>
    <w:multiLevelType w:val="hybridMultilevel"/>
    <w:tmpl w:val="11EE5308"/>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7" w15:restartNumberingAfterBreak="0">
    <w:nsid w:val="5F825359"/>
    <w:multiLevelType w:val="hybridMultilevel"/>
    <w:tmpl w:val="98AA34E6"/>
    <w:lvl w:ilvl="0" w:tplc="A3324A00">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8" w15:restartNumberingAfterBreak="0">
    <w:nsid w:val="61A40B9D"/>
    <w:multiLevelType w:val="hybridMultilevel"/>
    <w:tmpl w:val="47D058E6"/>
    <w:lvl w:ilvl="0" w:tplc="7F72D47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46847A3"/>
    <w:multiLevelType w:val="hybridMultilevel"/>
    <w:tmpl w:val="736EDAB4"/>
    <w:lvl w:ilvl="0" w:tplc="0C0A0001">
      <w:start w:val="1"/>
      <w:numFmt w:val="bullet"/>
      <w:lvlText w:val=""/>
      <w:lvlJc w:val="left"/>
      <w:pPr>
        <w:tabs>
          <w:tab w:val="num" w:pos="720"/>
        </w:tabs>
        <w:ind w:left="720" w:hanging="360"/>
      </w:pPr>
      <w:rPr>
        <w:rFonts w:ascii="Symbol" w:hAnsi="Symbol" w:hint="default"/>
      </w:rPr>
    </w:lvl>
    <w:lvl w:ilvl="1" w:tplc="C8FC0C96">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5D2585"/>
    <w:multiLevelType w:val="hybridMultilevel"/>
    <w:tmpl w:val="219E0792"/>
    <w:lvl w:ilvl="0" w:tplc="D84200C4">
      <w:start w:val="1"/>
      <w:numFmt w:val="decimal"/>
      <w:lvlText w:val="%1."/>
      <w:lvlJc w:val="left"/>
      <w:pPr>
        <w:tabs>
          <w:tab w:val="num" w:pos="644"/>
        </w:tabs>
        <w:ind w:left="644" w:hanging="360"/>
      </w:pPr>
      <w:rPr>
        <w:b/>
      </w:rPr>
    </w:lvl>
    <w:lvl w:ilvl="1" w:tplc="0C0A0019" w:tentative="1">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31" w15:restartNumberingAfterBreak="0">
    <w:nsid w:val="701F1C4F"/>
    <w:multiLevelType w:val="hybridMultilevel"/>
    <w:tmpl w:val="736EDAB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7B4873"/>
    <w:multiLevelType w:val="hybridMultilevel"/>
    <w:tmpl w:val="EE6C5F96"/>
    <w:lvl w:ilvl="0" w:tplc="0C0A000F">
      <w:start w:val="1"/>
      <w:numFmt w:val="decimal"/>
      <w:lvlText w:val="%1."/>
      <w:lvlJc w:val="left"/>
      <w:pPr>
        <w:tabs>
          <w:tab w:val="num" w:pos="720"/>
        </w:tabs>
        <w:ind w:left="720" w:hanging="360"/>
      </w:pPr>
      <w:rPr>
        <w:rFonts w:hint="default"/>
      </w:rPr>
    </w:lvl>
    <w:lvl w:ilvl="1" w:tplc="88D0FD42">
      <w:start w:val="1"/>
      <w:numFmt w:val="lowerLetter"/>
      <w:lvlText w:val="%2."/>
      <w:lvlJc w:val="left"/>
      <w:pPr>
        <w:tabs>
          <w:tab w:val="num" w:pos="1485"/>
        </w:tabs>
        <w:ind w:left="1485" w:hanging="405"/>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761B4D3D"/>
    <w:multiLevelType w:val="hybridMultilevel"/>
    <w:tmpl w:val="7E48352A"/>
    <w:lvl w:ilvl="0" w:tplc="46BE476C">
      <w:start w:val="4"/>
      <w:numFmt w:val="decimal"/>
      <w:lvlText w:val="%1"/>
      <w:lvlJc w:val="left"/>
      <w:pPr>
        <w:tabs>
          <w:tab w:val="num" w:pos="720"/>
        </w:tabs>
        <w:ind w:left="720" w:hanging="360"/>
      </w:pPr>
      <w:rPr>
        <w:rFonts w:hint="default"/>
        <w:b/>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7DE165C4"/>
    <w:multiLevelType w:val="hybridMultilevel"/>
    <w:tmpl w:val="A80EA9D2"/>
    <w:lvl w:ilvl="0" w:tplc="841CC3D0">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2"/>
  </w:num>
  <w:num w:numId="2">
    <w:abstractNumId w:val="5"/>
  </w:num>
  <w:num w:numId="3">
    <w:abstractNumId w:val="13"/>
  </w:num>
  <w:num w:numId="4">
    <w:abstractNumId w:val="25"/>
  </w:num>
  <w:num w:numId="5">
    <w:abstractNumId w:val="1"/>
  </w:num>
  <w:num w:numId="6">
    <w:abstractNumId w:val="31"/>
  </w:num>
  <w:num w:numId="7">
    <w:abstractNumId w:val="19"/>
  </w:num>
  <w:num w:numId="8">
    <w:abstractNumId w:val="26"/>
  </w:num>
  <w:num w:numId="9">
    <w:abstractNumId w:val="9"/>
  </w:num>
  <w:num w:numId="10">
    <w:abstractNumId w:val="6"/>
  </w:num>
  <w:num w:numId="11">
    <w:abstractNumId w:val="11"/>
  </w:num>
  <w:num w:numId="12">
    <w:abstractNumId w:val="12"/>
  </w:num>
  <w:num w:numId="13">
    <w:abstractNumId w:val="33"/>
  </w:num>
  <w:num w:numId="14">
    <w:abstractNumId w:val="17"/>
  </w:num>
  <w:num w:numId="15">
    <w:abstractNumId w:val="29"/>
  </w:num>
  <w:num w:numId="16">
    <w:abstractNumId w:val="2"/>
  </w:num>
  <w:num w:numId="17">
    <w:abstractNumId w:val="27"/>
  </w:num>
  <w:num w:numId="18">
    <w:abstractNumId w:val="7"/>
  </w:num>
  <w:num w:numId="19">
    <w:abstractNumId w:val="20"/>
  </w:num>
  <w:num w:numId="20">
    <w:abstractNumId w:val="0"/>
  </w:num>
  <w:num w:numId="21">
    <w:abstractNumId w:val="4"/>
  </w:num>
  <w:num w:numId="22">
    <w:abstractNumId w:val="16"/>
  </w:num>
  <w:num w:numId="23">
    <w:abstractNumId w:val="18"/>
  </w:num>
  <w:num w:numId="24">
    <w:abstractNumId w:val="15"/>
  </w:num>
  <w:num w:numId="25">
    <w:abstractNumId w:val="10"/>
  </w:num>
  <w:num w:numId="26">
    <w:abstractNumId w:val="8"/>
  </w:num>
  <w:num w:numId="27">
    <w:abstractNumId w:val="24"/>
  </w:num>
  <w:num w:numId="28">
    <w:abstractNumId w:val="30"/>
  </w:num>
  <w:num w:numId="29">
    <w:abstractNumId w:val="23"/>
  </w:num>
  <w:num w:numId="30">
    <w:abstractNumId w:val="28"/>
  </w:num>
  <w:num w:numId="31">
    <w:abstractNumId w:val="3"/>
  </w:num>
  <w:num w:numId="32">
    <w:abstractNumId w:val="14"/>
  </w:num>
  <w:num w:numId="33">
    <w:abstractNumId w:val="32"/>
  </w:num>
  <w:num w:numId="34">
    <w:abstractNumId w:val="21"/>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A27"/>
    <w:rsid w:val="000070B2"/>
    <w:rsid w:val="00007175"/>
    <w:rsid w:val="000151D1"/>
    <w:rsid w:val="000160AB"/>
    <w:rsid w:val="00025A27"/>
    <w:rsid w:val="00032596"/>
    <w:rsid w:val="000439A1"/>
    <w:rsid w:val="000478BB"/>
    <w:rsid w:val="000525FB"/>
    <w:rsid w:val="0005445A"/>
    <w:rsid w:val="000735D6"/>
    <w:rsid w:val="00075097"/>
    <w:rsid w:val="0009225F"/>
    <w:rsid w:val="000A0D74"/>
    <w:rsid w:val="000A56C1"/>
    <w:rsid w:val="000B7663"/>
    <w:rsid w:val="000B7FDA"/>
    <w:rsid w:val="000C3586"/>
    <w:rsid w:val="000C40E7"/>
    <w:rsid w:val="000C4F86"/>
    <w:rsid w:val="000E40D5"/>
    <w:rsid w:val="000F5B7F"/>
    <w:rsid w:val="00100D32"/>
    <w:rsid w:val="00120F7E"/>
    <w:rsid w:val="00122827"/>
    <w:rsid w:val="001259BA"/>
    <w:rsid w:val="00132EF2"/>
    <w:rsid w:val="0013609E"/>
    <w:rsid w:val="00143DE1"/>
    <w:rsid w:val="00144EEE"/>
    <w:rsid w:val="001475D5"/>
    <w:rsid w:val="0016129C"/>
    <w:rsid w:val="00162F49"/>
    <w:rsid w:val="00176291"/>
    <w:rsid w:val="00181978"/>
    <w:rsid w:val="00181CC3"/>
    <w:rsid w:val="00186F96"/>
    <w:rsid w:val="00191A22"/>
    <w:rsid w:val="001A7B80"/>
    <w:rsid w:val="001B614F"/>
    <w:rsid w:val="001C0054"/>
    <w:rsid w:val="001C3B7A"/>
    <w:rsid w:val="001D6085"/>
    <w:rsid w:val="001E61A8"/>
    <w:rsid w:val="002051FD"/>
    <w:rsid w:val="002078D4"/>
    <w:rsid w:val="00212DF1"/>
    <w:rsid w:val="00214EFB"/>
    <w:rsid w:val="002225C2"/>
    <w:rsid w:val="00222C5B"/>
    <w:rsid w:val="0022538D"/>
    <w:rsid w:val="00231277"/>
    <w:rsid w:val="00233CBD"/>
    <w:rsid w:val="00244DAF"/>
    <w:rsid w:val="00262F27"/>
    <w:rsid w:val="002739E6"/>
    <w:rsid w:val="002820F9"/>
    <w:rsid w:val="00285ADC"/>
    <w:rsid w:val="0029416C"/>
    <w:rsid w:val="002B703B"/>
    <w:rsid w:val="002C18B3"/>
    <w:rsid w:val="002C6D77"/>
    <w:rsid w:val="002D3994"/>
    <w:rsid w:val="002D46DF"/>
    <w:rsid w:val="002D6C2C"/>
    <w:rsid w:val="002D6CA7"/>
    <w:rsid w:val="002E2D7E"/>
    <w:rsid w:val="002E2EDC"/>
    <w:rsid w:val="002E5E91"/>
    <w:rsid w:val="002F37B5"/>
    <w:rsid w:val="00302C7C"/>
    <w:rsid w:val="00302EB7"/>
    <w:rsid w:val="003159A8"/>
    <w:rsid w:val="0032377B"/>
    <w:rsid w:val="003278F6"/>
    <w:rsid w:val="00333485"/>
    <w:rsid w:val="003355A1"/>
    <w:rsid w:val="00345E31"/>
    <w:rsid w:val="00346FE3"/>
    <w:rsid w:val="00364563"/>
    <w:rsid w:val="00371EA8"/>
    <w:rsid w:val="00380D30"/>
    <w:rsid w:val="003854CA"/>
    <w:rsid w:val="003A5482"/>
    <w:rsid w:val="003B36A3"/>
    <w:rsid w:val="003C0BAD"/>
    <w:rsid w:val="003C2DCC"/>
    <w:rsid w:val="003D0A58"/>
    <w:rsid w:val="003D14CB"/>
    <w:rsid w:val="003D1F32"/>
    <w:rsid w:val="003D3C0D"/>
    <w:rsid w:val="003D596C"/>
    <w:rsid w:val="003E06B5"/>
    <w:rsid w:val="003E265E"/>
    <w:rsid w:val="003E51FD"/>
    <w:rsid w:val="003F153A"/>
    <w:rsid w:val="003F29D8"/>
    <w:rsid w:val="004125BB"/>
    <w:rsid w:val="00416D20"/>
    <w:rsid w:val="004227E1"/>
    <w:rsid w:val="004254D2"/>
    <w:rsid w:val="0042700A"/>
    <w:rsid w:val="0043231E"/>
    <w:rsid w:val="00441EDC"/>
    <w:rsid w:val="00444A6F"/>
    <w:rsid w:val="00447351"/>
    <w:rsid w:val="00447E00"/>
    <w:rsid w:val="00457273"/>
    <w:rsid w:val="004576D8"/>
    <w:rsid w:val="0046549A"/>
    <w:rsid w:val="0046600D"/>
    <w:rsid w:val="00472F13"/>
    <w:rsid w:val="00476539"/>
    <w:rsid w:val="00476652"/>
    <w:rsid w:val="00482A51"/>
    <w:rsid w:val="00492443"/>
    <w:rsid w:val="004930EE"/>
    <w:rsid w:val="004939B2"/>
    <w:rsid w:val="004A0663"/>
    <w:rsid w:val="004A7D4B"/>
    <w:rsid w:val="004B23C8"/>
    <w:rsid w:val="004B65E3"/>
    <w:rsid w:val="004E0B15"/>
    <w:rsid w:val="004E29CC"/>
    <w:rsid w:val="004E340B"/>
    <w:rsid w:val="004F6786"/>
    <w:rsid w:val="00500476"/>
    <w:rsid w:val="0050085E"/>
    <w:rsid w:val="00507C46"/>
    <w:rsid w:val="00523670"/>
    <w:rsid w:val="00524649"/>
    <w:rsid w:val="00526250"/>
    <w:rsid w:val="0053018E"/>
    <w:rsid w:val="00554DE1"/>
    <w:rsid w:val="00567151"/>
    <w:rsid w:val="005675BA"/>
    <w:rsid w:val="005760F1"/>
    <w:rsid w:val="00576529"/>
    <w:rsid w:val="00585DBD"/>
    <w:rsid w:val="00586893"/>
    <w:rsid w:val="005907C4"/>
    <w:rsid w:val="00596987"/>
    <w:rsid w:val="005A264C"/>
    <w:rsid w:val="005A4327"/>
    <w:rsid w:val="005A6423"/>
    <w:rsid w:val="005B6C1E"/>
    <w:rsid w:val="005C7E94"/>
    <w:rsid w:val="005D2365"/>
    <w:rsid w:val="005E7709"/>
    <w:rsid w:val="005F1950"/>
    <w:rsid w:val="00601B07"/>
    <w:rsid w:val="006021D9"/>
    <w:rsid w:val="006078B6"/>
    <w:rsid w:val="00610F37"/>
    <w:rsid w:val="006123DF"/>
    <w:rsid w:val="0061647A"/>
    <w:rsid w:val="00621F28"/>
    <w:rsid w:val="006247B6"/>
    <w:rsid w:val="006415B6"/>
    <w:rsid w:val="00642662"/>
    <w:rsid w:val="00652EF8"/>
    <w:rsid w:val="00653C0A"/>
    <w:rsid w:val="00660F0E"/>
    <w:rsid w:val="006644ED"/>
    <w:rsid w:val="00666A11"/>
    <w:rsid w:val="006759F8"/>
    <w:rsid w:val="00680C52"/>
    <w:rsid w:val="0068420F"/>
    <w:rsid w:val="00684EE4"/>
    <w:rsid w:val="00687F7C"/>
    <w:rsid w:val="00695134"/>
    <w:rsid w:val="006A6A1C"/>
    <w:rsid w:val="006B0319"/>
    <w:rsid w:val="006B609A"/>
    <w:rsid w:val="006B7900"/>
    <w:rsid w:val="006C2C1E"/>
    <w:rsid w:val="006C40CF"/>
    <w:rsid w:val="006C58E1"/>
    <w:rsid w:val="006D7BA9"/>
    <w:rsid w:val="006E6DC6"/>
    <w:rsid w:val="006F2056"/>
    <w:rsid w:val="006F290C"/>
    <w:rsid w:val="006F44B8"/>
    <w:rsid w:val="006F6DC7"/>
    <w:rsid w:val="0070254F"/>
    <w:rsid w:val="00714E0A"/>
    <w:rsid w:val="007274F4"/>
    <w:rsid w:val="00730373"/>
    <w:rsid w:val="00732F8A"/>
    <w:rsid w:val="00754369"/>
    <w:rsid w:val="00757009"/>
    <w:rsid w:val="00767CAF"/>
    <w:rsid w:val="007715EB"/>
    <w:rsid w:val="0077499D"/>
    <w:rsid w:val="007842CD"/>
    <w:rsid w:val="007856AB"/>
    <w:rsid w:val="00786A47"/>
    <w:rsid w:val="0079578C"/>
    <w:rsid w:val="00797C30"/>
    <w:rsid w:val="007A09D9"/>
    <w:rsid w:val="007A25BF"/>
    <w:rsid w:val="007A3BB7"/>
    <w:rsid w:val="007B2040"/>
    <w:rsid w:val="007B4CE4"/>
    <w:rsid w:val="007B4D07"/>
    <w:rsid w:val="007C04DC"/>
    <w:rsid w:val="007C264E"/>
    <w:rsid w:val="007D04F0"/>
    <w:rsid w:val="007E4BB5"/>
    <w:rsid w:val="00805F73"/>
    <w:rsid w:val="008067FB"/>
    <w:rsid w:val="00830193"/>
    <w:rsid w:val="00831380"/>
    <w:rsid w:val="00831BB9"/>
    <w:rsid w:val="008338D5"/>
    <w:rsid w:val="00833A74"/>
    <w:rsid w:val="0084401D"/>
    <w:rsid w:val="00850C87"/>
    <w:rsid w:val="00855193"/>
    <w:rsid w:val="00863C8B"/>
    <w:rsid w:val="0087337B"/>
    <w:rsid w:val="00877BE8"/>
    <w:rsid w:val="00896228"/>
    <w:rsid w:val="008B3FA9"/>
    <w:rsid w:val="008B594B"/>
    <w:rsid w:val="008C0D1E"/>
    <w:rsid w:val="008C5286"/>
    <w:rsid w:val="008E4500"/>
    <w:rsid w:val="008F3D5A"/>
    <w:rsid w:val="00906943"/>
    <w:rsid w:val="00910B8E"/>
    <w:rsid w:val="009652BF"/>
    <w:rsid w:val="009701B0"/>
    <w:rsid w:val="00984970"/>
    <w:rsid w:val="00985B3B"/>
    <w:rsid w:val="00986A19"/>
    <w:rsid w:val="0099239B"/>
    <w:rsid w:val="009A505F"/>
    <w:rsid w:val="009C034F"/>
    <w:rsid w:val="009C2B19"/>
    <w:rsid w:val="009C3A54"/>
    <w:rsid w:val="009C6A17"/>
    <w:rsid w:val="009C735D"/>
    <w:rsid w:val="009D0EDC"/>
    <w:rsid w:val="009F6D09"/>
    <w:rsid w:val="009F7121"/>
    <w:rsid w:val="00A04FE2"/>
    <w:rsid w:val="00A06752"/>
    <w:rsid w:val="00A14940"/>
    <w:rsid w:val="00A22FF3"/>
    <w:rsid w:val="00A26187"/>
    <w:rsid w:val="00A35C15"/>
    <w:rsid w:val="00A36AB9"/>
    <w:rsid w:val="00A42B16"/>
    <w:rsid w:val="00A435C0"/>
    <w:rsid w:val="00A43603"/>
    <w:rsid w:val="00A73AE1"/>
    <w:rsid w:val="00A841A5"/>
    <w:rsid w:val="00A856D5"/>
    <w:rsid w:val="00A8773E"/>
    <w:rsid w:val="00A90110"/>
    <w:rsid w:val="00A92F98"/>
    <w:rsid w:val="00AA4921"/>
    <w:rsid w:val="00AA6025"/>
    <w:rsid w:val="00AA612B"/>
    <w:rsid w:val="00AB125D"/>
    <w:rsid w:val="00AB1CCF"/>
    <w:rsid w:val="00AB6E42"/>
    <w:rsid w:val="00AD5837"/>
    <w:rsid w:val="00AE07F8"/>
    <w:rsid w:val="00AE6989"/>
    <w:rsid w:val="00AF09ED"/>
    <w:rsid w:val="00AF44AE"/>
    <w:rsid w:val="00AF47D9"/>
    <w:rsid w:val="00AF52BB"/>
    <w:rsid w:val="00AF574C"/>
    <w:rsid w:val="00B04B1B"/>
    <w:rsid w:val="00B13224"/>
    <w:rsid w:val="00B132F2"/>
    <w:rsid w:val="00B13DA5"/>
    <w:rsid w:val="00B15843"/>
    <w:rsid w:val="00B17323"/>
    <w:rsid w:val="00B20804"/>
    <w:rsid w:val="00B25537"/>
    <w:rsid w:val="00B321D6"/>
    <w:rsid w:val="00B54E1D"/>
    <w:rsid w:val="00B57CFE"/>
    <w:rsid w:val="00B63D58"/>
    <w:rsid w:val="00B640E7"/>
    <w:rsid w:val="00B67019"/>
    <w:rsid w:val="00B72259"/>
    <w:rsid w:val="00B75035"/>
    <w:rsid w:val="00B800F4"/>
    <w:rsid w:val="00B938D6"/>
    <w:rsid w:val="00BA5A79"/>
    <w:rsid w:val="00BA5BCF"/>
    <w:rsid w:val="00BB296F"/>
    <w:rsid w:val="00BB51C1"/>
    <w:rsid w:val="00BB70B2"/>
    <w:rsid w:val="00BC43A9"/>
    <w:rsid w:val="00BC5478"/>
    <w:rsid w:val="00BC7C4E"/>
    <w:rsid w:val="00BD5B75"/>
    <w:rsid w:val="00BE32A6"/>
    <w:rsid w:val="00BE6BF2"/>
    <w:rsid w:val="00BF4795"/>
    <w:rsid w:val="00BF744F"/>
    <w:rsid w:val="00C00C08"/>
    <w:rsid w:val="00C02697"/>
    <w:rsid w:val="00C10232"/>
    <w:rsid w:val="00C112A2"/>
    <w:rsid w:val="00C2631F"/>
    <w:rsid w:val="00C32A42"/>
    <w:rsid w:val="00C32C36"/>
    <w:rsid w:val="00C33932"/>
    <w:rsid w:val="00C33CB9"/>
    <w:rsid w:val="00C50BF4"/>
    <w:rsid w:val="00C60893"/>
    <w:rsid w:val="00C62582"/>
    <w:rsid w:val="00C87AB1"/>
    <w:rsid w:val="00C92748"/>
    <w:rsid w:val="00C94D42"/>
    <w:rsid w:val="00CA0176"/>
    <w:rsid w:val="00CC66E2"/>
    <w:rsid w:val="00CD2F84"/>
    <w:rsid w:val="00CD5AC9"/>
    <w:rsid w:val="00CD7BAC"/>
    <w:rsid w:val="00CE245F"/>
    <w:rsid w:val="00CE6147"/>
    <w:rsid w:val="00CF0CEF"/>
    <w:rsid w:val="00D02563"/>
    <w:rsid w:val="00D0582B"/>
    <w:rsid w:val="00D05CAB"/>
    <w:rsid w:val="00D20F4E"/>
    <w:rsid w:val="00D222BF"/>
    <w:rsid w:val="00D3537C"/>
    <w:rsid w:val="00D439EE"/>
    <w:rsid w:val="00D6003A"/>
    <w:rsid w:val="00D61219"/>
    <w:rsid w:val="00D6524E"/>
    <w:rsid w:val="00D70420"/>
    <w:rsid w:val="00D8185A"/>
    <w:rsid w:val="00D81E72"/>
    <w:rsid w:val="00D85448"/>
    <w:rsid w:val="00D9135E"/>
    <w:rsid w:val="00D96973"/>
    <w:rsid w:val="00DA1E74"/>
    <w:rsid w:val="00DA4EF3"/>
    <w:rsid w:val="00DA68C2"/>
    <w:rsid w:val="00DC2F05"/>
    <w:rsid w:val="00DC3BC7"/>
    <w:rsid w:val="00DC714F"/>
    <w:rsid w:val="00DD0736"/>
    <w:rsid w:val="00DD2CA5"/>
    <w:rsid w:val="00DD3666"/>
    <w:rsid w:val="00E0022C"/>
    <w:rsid w:val="00E060FF"/>
    <w:rsid w:val="00E12A0C"/>
    <w:rsid w:val="00E215B7"/>
    <w:rsid w:val="00E218E9"/>
    <w:rsid w:val="00E21F95"/>
    <w:rsid w:val="00E23141"/>
    <w:rsid w:val="00E324E8"/>
    <w:rsid w:val="00E40FD3"/>
    <w:rsid w:val="00E437ED"/>
    <w:rsid w:val="00E5131B"/>
    <w:rsid w:val="00E60866"/>
    <w:rsid w:val="00E73B2C"/>
    <w:rsid w:val="00E878FA"/>
    <w:rsid w:val="00E87CEE"/>
    <w:rsid w:val="00E92D08"/>
    <w:rsid w:val="00E9418D"/>
    <w:rsid w:val="00E97331"/>
    <w:rsid w:val="00EA67CC"/>
    <w:rsid w:val="00EB4C30"/>
    <w:rsid w:val="00EC0EB7"/>
    <w:rsid w:val="00EC5314"/>
    <w:rsid w:val="00ED08FD"/>
    <w:rsid w:val="00ED4D0E"/>
    <w:rsid w:val="00ED6678"/>
    <w:rsid w:val="00EF3898"/>
    <w:rsid w:val="00EF4D3E"/>
    <w:rsid w:val="00EF770E"/>
    <w:rsid w:val="00F04C00"/>
    <w:rsid w:val="00F07019"/>
    <w:rsid w:val="00F10974"/>
    <w:rsid w:val="00F10A58"/>
    <w:rsid w:val="00F10D94"/>
    <w:rsid w:val="00F12743"/>
    <w:rsid w:val="00F13733"/>
    <w:rsid w:val="00F16E0D"/>
    <w:rsid w:val="00F25315"/>
    <w:rsid w:val="00F4427D"/>
    <w:rsid w:val="00F45B1D"/>
    <w:rsid w:val="00F768A1"/>
    <w:rsid w:val="00F83E69"/>
    <w:rsid w:val="00F9074A"/>
    <w:rsid w:val="00F9197F"/>
    <w:rsid w:val="00F93A63"/>
    <w:rsid w:val="00FA4847"/>
    <w:rsid w:val="00FB1343"/>
    <w:rsid w:val="00FB465A"/>
    <w:rsid w:val="00FB50F7"/>
    <w:rsid w:val="00FB7798"/>
    <w:rsid w:val="00FC5CA2"/>
    <w:rsid w:val="00FD2586"/>
    <w:rsid w:val="00FD2B46"/>
    <w:rsid w:val="00FD437C"/>
    <w:rsid w:val="00FF4F06"/>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9"/>
    <o:shapelayout v:ext="edit">
      <o:idmap v:ext="edit" data="1"/>
    </o:shapelayout>
  </w:shapeDefaults>
  <w:decimalSymbol w:val="."/>
  <w:listSeparator w:val=","/>
  <w15:docId w15:val="{E94FD466-ED81-4959-A2D3-B9959EBA7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649"/>
    <w:rPr>
      <w:rFonts w:ascii="Times New Roman" w:eastAsia="Times New Roman" w:hAnsi="Times New Roman"/>
      <w:sz w:val="24"/>
      <w:szCs w:val="24"/>
      <w:lang w:eastAsia="en-US"/>
    </w:rPr>
  </w:style>
  <w:style w:type="paragraph" w:styleId="Ttulo1">
    <w:name w:val="heading 1"/>
    <w:basedOn w:val="Normal"/>
    <w:next w:val="Normal"/>
    <w:link w:val="Ttulo1Car"/>
    <w:qFormat/>
    <w:rsid w:val="00524649"/>
    <w:pPr>
      <w:keepNext/>
      <w:framePr w:hSpace="141" w:wrap="around" w:vAnchor="text" w:hAnchor="text" w:x="288" w:y="82"/>
      <w:autoSpaceDE w:val="0"/>
      <w:autoSpaceDN w:val="0"/>
      <w:adjustRightInd w:val="0"/>
      <w:jc w:val="center"/>
      <w:outlineLvl w:val="0"/>
    </w:pPr>
    <w:rPr>
      <w:rFonts w:ascii="Arial" w:hAnsi="Arial" w:cs="Arial"/>
      <w:b/>
      <w:color w:val="000000"/>
      <w:sz w:val="16"/>
      <w:szCs w:val="16"/>
      <w:lang w:val="es-ES"/>
    </w:rPr>
  </w:style>
  <w:style w:type="paragraph" w:styleId="Ttulo2">
    <w:name w:val="heading 2"/>
    <w:basedOn w:val="Normal"/>
    <w:next w:val="Normal"/>
    <w:qFormat/>
    <w:rsid w:val="00524649"/>
    <w:pPr>
      <w:keepNext/>
      <w:ind w:left="720" w:hanging="360"/>
      <w:jc w:val="center"/>
      <w:outlineLvl w:val="1"/>
    </w:pPr>
    <w:rPr>
      <w:rFonts w:ascii="Arial" w:hAnsi="Arial" w:cs="Arial"/>
      <w:b/>
      <w:color w:val="000080"/>
      <w:sz w:val="22"/>
      <w:szCs w:val="16"/>
    </w:rPr>
  </w:style>
  <w:style w:type="paragraph" w:styleId="Ttulo3">
    <w:name w:val="heading 3"/>
    <w:basedOn w:val="Normal"/>
    <w:next w:val="Normal"/>
    <w:qFormat/>
    <w:rsid w:val="00524649"/>
    <w:pPr>
      <w:keepNext/>
      <w:ind w:left="720" w:hanging="360"/>
      <w:jc w:val="center"/>
      <w:outlineLvl w:val="2"/>
    </w:pPr>
    <w:rPr>
      <w:rFonts w:ascii="Arial" w:hAnsi="Arial" w:cs="Arial"/>
      <w:b/>
      <w:color w:val="000080"/>
      <w:szCs w:val="16"/>
    </w:rPr>
  </w:style>
  <w:style w:type="paragraph" w:styleId="Ttulo4">
    <w:name w:val="heading 4"/>
    <w:basedOn w:val="Normal"/>
    <w:next w:val="Normal"/>
    <w:qFormat/>
    <w:rsid w:val="00524649"/>
    <w:pPr>
      <w:keepNext/>
      <w:ind w:left="720" w:hanging="360"/>
      <w:jc w:val="both"/>
      <w:outlineLvl w:val="3"/>
    </w:pPr>
    <w:rPr>
      <w:rFonts w:ascii="Arial" w:hAnsi="Arial" w:cs="Arial"/>
      <w:b/>
      <w:color w:val="000080"/>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uiPriority w:val="99"/>
    <w:rsid w:val="00524649"/>
    <w:pPr>
      <w:tabs>
        <w:tab w:val="center" w:pos="4320"/>
        <w:tab w:val="right" w:pos="8640"/>
      </w:tabs>
    </w:pPr>
  </w:style>
  <w:style w:type="character" w:customStyle="1" w:styleId="PiedepginaCar">
    <w:name w:val="Pie de página Car"/>
    <w:uiPriority w:val="99"/>
    <w:rsid w:val="00524649"/>
    <w:rPr>
      <w:rFonts w:ascii="Times New Roman" w:eastAsia="Times New Roman" w:hAnsi="Times New Roman" w:cs="Times New Roman"/>
      <w:sz w:val="24"/>
      <w:szCs w:val="24"/>
      <w:lang w:val="en-US"/>
    </w:rPr>
  </w:style>
  <w:style w:type="paragraph" w:styleId="Encabezado">
    <w:name w:val="header"/>
    <w:basedOn w:val="Normal"/>
    <w:link w:val="EncabezadoCar1"/>
    <w:rsid w:val="00524649"/>
    <w:pPr>
      <w:tabs>
        <w:tab w:val="center" w:pos="4320"/>
        <w:tab w:val="right" w:pos="8640"/>
      </w:tabs>
    </w:pPr>
  </w:style>
  <w:style w:type="character" w:customStyle="1" w:styleId="EncabezadoCar">
    <w:name w:val="Encabezado Car"/>
    <w:rsid w:val="00524649"/>
    <w:rPr>
      <w:rFonts w:ascii="Times New Roman" w:eastAsia="Times New Roman" w:hAnsi="Times New Roman" w:cs="Times New Roman"/>
      <w:sz w:val="24"/>
      <w:szCs w:val="24"/>
      <w:lang w:val="en-US"/>
    </w:rPr>
  </w:style>
  <w:style w:type="paragraph" w:styleId="Prrafodelista">
    <w:name w:val="List Paragraph"/>
    <w:basedOn w:val="Normal"/>
    <w:uiPriority w:val="34"/>
    <w:qFormat/>
    <w:rsid w:val="00524649"/>
    <w:pPr>
      <w:ind w:left="708"/>
    </w:pPr>
  </w:style>
  <w:style w:type="paragraph" w:styleId="Textoindependiente">
    <w:name w:val="Body Text"/>
    <w:basedOn w:val="Normal"/>
    <w:rsid w:val="00524649"/>
    <w:pPr>
      <w:snapToGrid w:val="0"/>
    </w:pPr>
    <w:rPr>
      <w:rFonts w:ascii="Arial" w:hAnsi="Arial" w:cs="Arial"/>
      <w:bCs/>
      <w:sz w:val="18"/>
      <w:szCs w:val="18"/>
      <w:lang w:val="es-ES"/>
    </w:rPr>
  </w:style>
  <w:style w:type="paragraph" w:styleId="Textoindependiente2">
    <w:name w:val="Body Text 2"/>
    <w:basedOn w:val="Normal"/>
    <w:rsid w:val="00524649"/>
    <w:rPr>
      <w:rFonts w:ascii="Verdana" w:hAnsi="Verdana"/>
      <w:b/>
      <w:sz w:val="22"/>
      <w:szCs w:val="20"/>
      <w:lang w:val="es-ES" w:eastAsia="es-ES"/>
    </w:rPr>
  </w:style>
  <w:style w:type="paragraph" w:customStyle="1" w:styleId="CharCharChar1Car">
    <w:name w:val="Char Char Char1 Car"/>
    <w:basedOn w:val="Normal"/>
    <w:rsid w:val="00524649"/>
    <w:pPr>
      <w:spacing w:after="160" w:line="240" w:lineRule="exact"/>
    </w:pPr>
    <w:rPr>
      <w:rFonts w:ascii="Verdana" w:hAnsi="Verdana"/>
      <w:sz w:val="20"/>
      <w:szCs w:val="20"/>
      <w:lang w:val="es-ES"/>
    </w:rPr>
  </w:style>
  <w:style w:type="paragraph" w:styleId="Sangradetextonormal">
    <w:name w:val="Body Text Indent"/>
    <w:basedOn w:val="Normal"/>
    <w:rsid w:val="00524649"/>
    <w:pPr>
      <w:ind w:left="720" w:hanging="360"/>
      <w:jc w:val="center"/>
    </w:pPr>
    <w:rPr>
      <w:rFonts w:ascii="Arial" w:hAnsi="Arial"/>
      <w:b/>
      <w:color w:val="000080"/>
      <w:szCs w:val="16"/>
      <w:lang w:val="es-ES"/>
    </w:rPr>
  </w:style>
  <w:style w:type="character" w:styleId="Hipervnculo">
    <w:name w:val="Hyperlink"/>
    <w:uiPriority w:val="99"/>
    <w:rsid w:val="00524649"/>
    <w:rPr>
      <w:color w:val="0000FF"/>
      <w:u w:val="single"/>
    </w:rPr>
  </w:style>
  <w:style w:type="paragraph" w:styleId="Sangra2detindependiente">
    <w:name w:val="Body Text Indent 2"/>
    <w:basedOn w:val="Normal"/>
    <w:rsid w:val="00524649"/>
    <w:pPr>
      <w:ind w:left="720" w:hanging="360"/>
      <w:jc w:val="both"/>
    </w:pPr>
    <w:rPr>
      <w:rFonts w:ascii="Arial" w:hAnsi="Arial" w:cs="Arial"/>
      <w:b/>
      <w:color w:val="000080"/>
      <w:szCs w:val="16"/>
    </w:rPr>
  </w:style>
  <w:style w:type="paragraph" w:styleId="Sangra3detindependiente">
    <w:name w:val="Body Text Indent 3"/>
    <w:basedOn w:val="Normal"/>
    <w:rsid w:val="00524649"/>
    <w:pPr>
      <w:ind w:left="720" w:hanging="360"/>
      <w:jc w:val="center"/>
    </w:pPr>
    <w:rPr>
      <w:rFonts w:ascii="Arial" w:hAnsi="Arial" w:cs="Arial"/>
      <w:color w:val="333333"/>
      <w:sz w:val="22"/>
      <w:szCs w:val="16"/>
    </w:rPr>
  </w:style>
  <w:style w:type="character" w:styleId="Nmerodepgina">
    <w:name w:val="page number"/>
    <w:basedOn w:val="Fuentedeprrafopredeter"/>
    <w:rsid w:val="007715EB"/>
  </w:style>
  <w:style w:type="character" w:customStyle="1" w:styleId="EncabezadoCar1">
    <w:name w:val="Encabezado Car1"/>
    <w:link w:val="Encabezado"/>
    <w:rsid w:val="006D7BA9"/>
    <w:rPr>
      <w:sz w:val="24"/>
      <w:szCs w:val="24"/>
      <w:lang w:val="en-US" w:eastAsia="en-US" w:bidi="ar-SA"/>
    </w:rPr>
  </w:style>
  <w:style w:type="table" w:styleId="Tablaconcuadrcula">
    <w:name w:val="Table Grid"/>
    <w:basedOn w:val="Tablanormal"/>
    <w:rsid w:val="006F44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rsid w:val="00CD7BAC"/>
    <w:rPr>
      <w:rFonts w:ascii="Tahoma" w:hAnsi="Tahoma" w:cs="Tahoma"/>
      <w:sz w:val="16"/>
      <w:szCs w:val="16"/>
    </w:rPr>
  </w:style>
  <w:style w:type="character" w:customStyle="1" w:styleId="TextodegloboCar">
    <w:name w:val="Texto de globo Car"/>
    <w:basedOn w:val="Fuentedeprrafopredeter"/>
    <w:link w:val="Textodeglobo"/>
    <w:rsid w:val="00CD7BAC"/>
    <w:rPr>
      <w:rFonts w:ascii="Tahoma" w:eastAsia="Times New Roman" w:hAnsi="Tahoma" w:cs="Tahoma"/>
      <w:sz w:val="16"/>
      <w:szCs w:val="16"/>
      <w:lang w:val="en-US" w:eastAsia="en-US"/>
    </w:rPr>
  </w:style>
  <w:style w:type="paragraph" w:customStyle="1" w:styleId="Default">
    <w:name w:val="Default"/>
    <w:rsid w:val="000735D6"/>
    <w:pPr>
      <w:autoSpaceDE w:val="0"/>
      <w:autoSpaceDN w:val="0"/>
      <w:adjustRightInd w:val="0"/>
    </w:pPr>
    <w:rPr>
      <w:rFonts w:ascii="Arial" w:hAnsi="Arial" w:cs="Arial"/>
      <w:color w:val="000000"/>
      <w:sz w:val="24"/>
      <w:szCs w:val="24"/>
    </w:rPr>
  </w:style>
  <w:style w:type="character" w:customStyle="1" w:styleId="Ttulo1Car">
    <w:name w:val="Título 1 Car"/>
    <w:basedOn w:val="Fuentedeprrafopredeter"/>
    <w:link w:val="Ttulo1"/>
    <w:locked/>
    <w:rsid w:val="00186F96"/>
    <w:rPr>
      <w:rFonts w:ascii="Arial" w:eastAsia="Times New Roman" w:hAnsi="Arial" w:cs="Arial"/>
      <w:b/>
      <w:color w:val="000000"/>
      <w:sz w:val="16"/>
      <w:szCs w:val="16"/>
      <w:lang w:val="es-ES" w:eastAsia="en-US"/>
    </w:rPr>
  </w:style>
  <w:style w:type="paragraph" w:styleId="Textoindependiente3">
    <w:name w:val="Body Text 3"/>
    <w:basedOn w:val="Normal"/>
    <w:link w:val="Textoindependiente3Car"/>
    <w:semiHidden/>
    <w:unhideWhenUsed/>
    <w:rsid w:val="00786A47"/>
    <w:pPr>
      <w:spacing w:after="120"/>
    </w:pPr>
    <w:rPr>
      <w:sz w:val="16"/>
      <w:szCs w:val="16"/>
    </w:rPr>
  </w:style>
  <w:style w:type="character" w:customStyle="1" w:styleId="Textoindependiente3Car">
    <w:name w:val="Texto independiente 3 Car"/>
    <w:basedOn w:val="Fuentedeprrafopredeter"/>
    <w:link w:val="Textoindependiente3"/>
    <w:semiHidden/>
    <w:rsid w:val="00786A47"/>
    <w:rPr>
      <w:rFonts w:ascii="Times New Roman" w:eastAsia="Times New Roman" w:hAnsi="Times New Roman"/>
      <w:sz w:val="16"/>
      <w:szCs w:val="16"/>
      <w:lang w:eastAsia="en-US"/>
    </w:rPr>
  </w:style>
  <w:style w:type="paragraph" w:styleId="Textonotapie">
    <w:name w:val="footnote text"/>
    <w:basedOn w:val="Normal"/>
    <w:link w:val="TextonotapieCar"/>
    <w:uiPriority w:val="99"/>
    <w:semiHidden/>
    <w:rsid w:val="00786A47"/>
    <w:rPr>
      <w:sz w:val="20"/>
      <w:szCs w:val="20"/>
      <w:lang w:val="es-ES" w:eastAsia="es-ES"/>
    </w:rPr>
  </w:style>
  <w:style w:type="character" w:customStyle="1" w:styleId="TextonotapieCar">
    <w:name w:val="Texto nota pie Car"/>
    <w:basedOn w:val="Fuentedeprrafopredeter"/>
    <w:link w:val="Textonotapie"/>
    <w:uiPriority w:val="99"/>
    <w:semiHidden/>
    <w:rsid w:val="00786A47"/>
    <w:rPr>
      <w:rFonts w:ascii="Times New Roman" w:eastAsia="Times New Roman" w:hAnsi="Times New Roman"/>
      <w:lang w:val="es-ES" w:eastAsia="es-ES"/>
    </w:rPr>
  </w:style>
  <w:style w:type="character" w:styleId="Refdenotaalpie">
    <w:name w:val="footnote reference"/>
    <w:basedOn w:val="Fuentedeprrafopredeter"/>
    <w:uiPriority w:val="99"/>
    <w:semiHidden/>
    <w:rsid w:val="00786A47"/>
    <w:rPr>
      <w:vertAlign w:val="superscript"/>
    </w:rPr>
  </w:style>
  <w:style w:type="paragraph" w:styleId="Sinespaciado">
    <w:name w:val="No Spacing"/>
    <w:uiPriority w:val="1"/>
    <w:qFormat/>
    <w:rsid w:val="00786A47"/>
    <w:rPr>
      <w:sz w:val="22"/>
      <w:szCs w:val="22"/>
      <w:lang w:eastAsia="en-US"/>
    </w:rPr>
  </w:style>
  <w:style w:type="paragraph" w:styleId="NormalWeb">
    <w:name w:val="Normal (Web)"/>
    <w:basedOn w:val="Normal"/>
    <w:uiPriority w:val="99"/>
    <w:rsid w:val="00786A47"/>
    <w:pPr>
      <w:spacing w:before="100" w:beforeAutospacing="1" w:after="100" w:afterAutospacing="1"/>
    </w:pPr>
    <w:rPr>
      <w:lang w:val="es-ES" w:eastAsia="es-ES"/>
    </w:rPr>
  </w:style>
  <w:style w:type="character" w:customStyle="1" w:styleId="textonavy1">
    <w:name w:val="texto_navy1"/>
    <w:basedOn w:val="Fuentedeprrafopredeter"/>
    <w:rsid w:val="00786A47"/>
    <w:rPr>
      <w:color w:val="000080"/>
    </w:rPr>
  </w:style>
  <w:style w:type="character" w:customStyle="1" w:styleId="apple-style-span">
    <w:name w:val="apple-style-span"/>
    <w:basedOn w:val="Fuentedeprrafopredeter"/>
    <w:rsid w:val="0078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32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unesdoc.unesco.org/images/0014/001459/145951e.pdf" TargetMode="External"/><Relationship Id="rId4" Type="http://schemas.openxmlformats.org/officeDocument/2006/relationships/settings" Target="settings.xml"/><Relationship Id="rId9" Type="http://schemas.openxmlformats.org/officeDocument/2006/relationships/package" Target="embeddings/Diapositiva_de_Microsoft_PowerPoint.sldx"/><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www.scielo.unal.edu.co/scielo.php?script=sci_arttext&amp;pid=S1657-95342008000400002&amp;lng=es&amp;nrm=iso" TargetMode="External"/><Relationship Id="rId2" Type="http://schemas.openxmlformats.org/officeDocument/2006/relationships/hyperlink" Target="http://www.scielo.unal.edu.co/scielo.php?script=sci_arttext&amp;pid=S1657-95342008000400002&amp;lng=es&amp;nrm=iso" TargetMode="External"/><Relationship Id="rId1" Type="http://schemas.openxmlformats.org/officeDocument/2006/relationships/hyperlink" Target="http://www.scielo.unal.edu.co/scielo.php?script=sci_arttext&amp;pid=S1657-95342008000400002&amp;lng=es&amp;nrm=is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B3BD3-561D-4099-9991-6CBF920BF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23</Pages>
  <Words>6004</Words>
  <Characters>34223</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1</vt:lpstr>
    </vt:vector>
  </TitlesOfParts>
  <Company>Hewlett-Packard Company</Company>
  <LinksUpToDate>false</LinksUpToDate>
  <CharactersWithSpaces>40147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UNICAUCA1</dc:creator>
  <cp:keywords/>
  <dc:description/>
  <cp:lastModifiedBy>ST-H5PJDW2</cp:lastModifiedBy>
  <cp:revision>1</cp:revision>
  <cp:lastPrinted>2022-07-27T16:33:00Z</cp:lastPrinted>
  <dcterms:created xsi:type="dcterms:W3CDTF">2022-07-27T16:17:00Z</dcterms:created>
  <dcterms:modified xsi:type="dcterms:W3CDTF">2022-07-27T17:02:00Z</dcterms:modified>
</cp:coreProperties>
</file>